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Consultancy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firm or individual giving the advice)] (the "Consultant").</w:t>
      </w:r>
    </w:p>
    <w:p>
      <w:pPr>
        <w:pStyle w:val="Heading2"/>
      </w:pPr>
      <w:r>
        <w:t xml:space="preserve">Key Terms</w:t>
      </w:r>
    </w:p>
    <w:p>
      <w:pPr>
        <w:spacing w:after="120"/>
      </w:pPr>
      <w:r>
        <w:t xml:space="preserve">"Services" means [Services (the advice and support the Consultant will give, itemised)].</w:t>
      </w:r>
    </w:p>
    <w:p>
      <w:pPr>
        <w:spacing w:after="120"/>
      </w:pPr>
      <w:r>
        <w:t xml:space="preserve">"Start Date" means [Start Date].</w:t>
      </w:r>
    </w:p>
    <w:p>
      <w:pPr>
        <w:spacing w:after="120"/>
      </w:pPr>
      <w:r>
        <w:t xml:space="preserve">"Term" means 12 months from the Start Date.</w:t>
      </w:r>
    </w:p>
    <w:p>
      <w:pPr>
        <w:spacing w:after="120"/>
      </w:pPr>
      <w:r>
        <w:t xml:space="preserve">"Fees" means [Fees].</w:t>
      </w:r>
    </w:p>
    <w:p>
      <w:pPr>
        <w:spacing w:after="120"/>
      </w:pPr>
      <w:r>
        <w:t xml:space="preserve">"Payment Period" means 30 days after receipt of a valid invoice.</w:t>
      </w:r>
    </w:p>
    <w:p>
      <w:pPr>
        <w:spacing w:after="120"/>
      </w:pPr>
      <w:r>
        <w:t xml:space="preserve">"Liability Cap" means the total Fees paid or payable under this agreement in the 12 months before the event giving rise to the claim.</w:t>
      </w:r>
    </w:p>
    <w:p>
      <w:pPr>
        <w:spacing w:after="120"/>
      </w:pPr>
      <w:r>
        <w:t xml:space="preserve">"Key Personnel" means [Key Personnel (the named individuals who will provide the Services)].</w:t>
      </w:r>
    </w:p>
    <w:p>
      <w:pPr>
        <w:spacing w:after="120"/>
      </w:pPr>
      <w:r>
        <w:t xml:space="preserve">"Fee Cap" means [Fee Cap (maximum Fees without further approval)].</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Client appoints the Consultant on a non-exclusive basis to provide the Services from the Start Date for the Term. The Consultant must provide the Services with reasonable care, skill and diligence, using appropriately qualified and experienced personnel, and in accordance with applicable law and any reasonable site, security and conduct rules the Client notifies to it in advance.</w:t>
      </w:r>
    </w:p>
    <w:p>
      <w:pPr>
        <w:pStyle w:val="Heading2"/>
      </w:pPr>
      <w:r>
        <w:t xml:space="preserve">Advice</w:t>
      </w:r>
    </w:p>
    <w:p>
      <w:pPr>
        <w:spacing w:after="120"/>
      </w:pPr>
      <w:r>
        <w:t xml:space="preserve">The Services are provided for the Client's own use and for the purpose for which they were requested. The Client remains responsible for its own decisions, including whether and how to act on any advice. The Consultant may rely on information the Client supplies without verifying it, unless the Consultant knows or should reasonably suspect that it is inaccurate or incomplete. No person other than the Client may rely on the Consultant's advice without the Consultant's prior written consent.</w:t>
      </w:r>
    </w:p>
    <w:p>
      <w:pPr>
        <w:pStyle w:val="Heading2"/>
      </w:pPr>
      <w:r>
        <w:t xml:space="preserve">Licences and Permits</w:t>
      </w:r>
    </w:p>
    <w:p>
      <w:pPr>
        <w:spacing w:after="120"/>
      </w:pPr>
      <w:r>
        <w:t xml:space="preserve">The Consultant warrants that it holds, and must maintain throughout the Term, the commercial or professional licence and any other approvals required in the United Arab Emirates to provide the Services, and that its personnel working on the Services hold the residence and work permits the law requires. The Consultant must notify the Client promptly if any of them lapses, and the Client may then terminate this agreement immediately by written notice.</w:t>
      </w:r>
    </w:p>
    <w:p>
      <w:pPr>
        <w:pStyle w:val="Heading2"/>
      </w:pPr>
      <w:r>
        <w:t xml:space="preserve">Key Personnel</w:t>
      </w:r>
    </w:p>
    <w:p>
      <w:pPr>
        <w:spacing w:after="120"/>
      </w:pPr>
      <w:r>
        <w:t xml:space="preserve">The Consultant must provide the Services principally through the Key Personnel. It must not replace any of them without the Client's prior written consent, which the Client must not unreasonably withhold, except where the person is unavailable because of illness, leave or the end of their engagement with the Consultant. Any replacement must be suitably qualified and experienced, and the Consultant must bear the cost of any handover.</w:t>
      </w:r>
    </w:p>
    <w:p>
      <w:pPr>
        <w:pStyle w:val="Heading2"/>
      </w:pPr>
      <w:r>
        <w:t xml:space="preserve">Client Responsibilities</w:t>
      </w:r>
    </w:p>
    <w:p>
      <w:pPr>
        <w:spacing w:after="120"/>
      </w:pPr>
      <w:r>
        <w:t xml:space="preserve">The Client must give the Consultant, in good time, the information, access, decisions and cooperation the Consultant reasonably needs to provide the Services, and must ensure that the information it supplies is accurate and complete in all material respects. The Consultant is not responsible for delay or additional cost to the extent caused by the Client's failure to do so, and the parties must agree any reasonable adjustment to the timetable or Fees that results.</w:t>
      </w:r>
    </w:p>
    <w:p>
      <w:pPr>
        <w:pStyle w:val="Heading2"/>
      </w:pPr>
      <w:r>
        <w:t xml:space="preserve">Changes</w:t>
      </w:r>
    </w:p>
    <w:p>
      <w:pPr>
        <w:spacing w:after="120"/>
      </w:pPr>
      <w:r>
        <w:t xml:space="preserve">Either party may propose a change to the Services. A change binds the parties only once both have agreed it in writing, including any change to the timetable or Fees. Until then, the Consultant must continue to provide the Services as agreed.</w:t>
      </w:r>
    </w:p>
    <w:p>
      <w:pPr>
        <w:pStyle w:val="Heading2"/>
      </w:pPr>
      <w:r>
        <w:t xml:space="preserve">Conflicts of Interest</w:t>
      </w:r>
    </w:p>
    <w:p>
      <w:pPr>
        <w:spacing w:after="120"/>
      </w:pPr>
      <w:r>
        <w:t xml:space="preserve">The Consultant may provide services to others during the Term, provided that doing so does not conflict with its duties under this agreement or involve any use of the Client's Confidential Information. The Consultant must promptly disclose to the Client in writing any actual or potential conflict of interest. If the parties cannot agree measures that manage the conflict to the Client's reasonable satisfaction, either party may terminate this agreement immediately by written notice.</w:t>
      </w:r>
    </w:p>
    <w:p>
      <w:pPr>
        <w:pStyle w:val="Heading2"/>
      </w:pPr>
      <w:r>
        <w:t xml:space="preserve">Fees and Payment</w:t>
      </w:r>
    </w:p>
    <w:p>
      <w:pPr>
        <w:spacing w:after="120"/>
      </w:pPr>
      <w:r>
        <w:t xml:space="preserve">The Client must pay the Fees and the expenses described in this clause. Where Fees are charged by time, a day means 7.5 hours of work, and part days are charged pro rata. The Consultant must keep accurate records of the time spent on the Services and provide them with each invoice and at any other time on reasonable request. The Fees are exclusive of value added tax, which the Client must pay at the applicable rate against a valid tax invoice.</w:t>
      </w:r>
    </w:p>
    <w:p>
      <w:pPr>
        <w:spacing w:after="120"/>
      </w:pPr>
      <w:r>
        <w:t xml:space="preserve">The Consultant may invoice monthly in arrears. The Client must pay each valid invoice within the Payment Period. If the Client disputes an invoice in good faith, it must notify the Consultant promptly with its reasons and pay the undisputed part when due, and the parties must try promptly to resolve the dispute.</w:t>
      </w:r>
    </w:p>
    <w:p>
      <w:pPr>
        <w:spacing w:after="120"/>
      </w:pPr>
      <w:r>
        <w:t xml:space="preserve">The Consultant must not incur Fees above the Fee Cap without the Client's prior written approval, and the Client is not required to pay Fees above the Fee Cap that it has not approved. The Consultant must tell the Client promptly if it expects the Fee Cap to be insufficient.</w:t>
      </w:r>
    </w:p>
    <w:p>
      <w:pPr>
        <w:spacing w:after="120"/>
      </w:pPr>
      <w:r>
        <w:t xml:space="preserve">The Client must reimburse reasonable travel and other out-of-pocket expenses properly incurred in providing the Services, provided that the Client approved them in writing in advance and the Consultant supplies receipts or other reasonable evidence with the relevant invoice.</w:t>
      </w:r>
    </w:p>
    <w:p>
      <w:pPr>
        <w:spacing w:after="120"/>
      </w:pPr>
      <w:r>
        <w:t xml:space="preserve">If an undisputed amount remains unpaid 14 days after the Consultant gives written notice requiring payment and stating its intention to suspend, the Consultant may suspend the Services until it is paid. This does not limit any other remedy the law gives the Consultant.</w:t>
      </w:r>
    </w:p>
    <w:p>
      <w:pPr>
        <w:pStyle w:val="Heading2"/>
      </w:pPr>
      <w:r>
        <w:t xml:space="preserve">Status</w:t>
      </w:r>
    </w:p>
    <w:p>
      <w:pPr>
        <w:spacing w:after="120"/>
      </w:pPr>
      <w:r>
        <w:t xml:space="preserve">This agreement is a contract for services. It is not an employment contract under Federal Decree-Law No. 33 of 2021 regulating labour relations, and it does not make the Consultant or any of its personnel employees of the Client or create a partnership or agency. The Consultant decides how the Services are performed, subject to the agreed timetable and the Client's reasonable operational requirements, and has no authority to bind the Client. The Consultant is responsible for its personnel, including their sponsorship, permits, remuneration and end-of-service entitlements, and for its own taxes.</w:t>
      </w:r>
    </w:p>
    <w:p>
      <w:pPr>
        <w:pStyle w:val="Heading2"/>
      </w:pPr>
      <w:r>
        <w:t xml:space="preserve">Intellectual Property</w:t>
      </w:r>
    </w:p>
    <w:p>
      <w:pPr>
        <w:spacing w:after="120"/>
      </w:pPr>
      <w:r>
        <w:t xml:space="preserve">"Work Product" means the reports, advice documents, presentations, analyses and other materials the Consultant creates specifically for the Client in providing the Services. "Consultant Materials" means the materials, methods, tools, templates and know-how the Consultant owned before this agreement or develops independently of the Services. The Client grants the Consultant a non-exclusive, royalty-free licence to use the materials the Client supplies, only to provide the Services.</w:t>
      </w:r>
    </w:p>
    <w:p>
      <w:pPr>
        <w:spacing w:after="120"/>
      </w:pPr>
      <w:r>
        <w:t xml:space="preserve">The economic rights in the Work Product belong to the Client as works created for its benefit. To the extent any of them does not vest in the Client by law, the Consultant will assign it to the Client, by a written assignment made after each item of Work Product has been created, including the rights to reproduce, publish, communicate, translate, adapt and distribute the Work Product, by any means, for any purpose, worldwide and for the full period of protection. The Consultant grants the Client a non-exclusive, perpetual, irrevocable, royalty-free licence to use, copy and adapt any Consultant Materials included in the Work Product, as part of it, for the business purposes of the Client and its group companies. As moral rights cannot be assigned, the Consultant must obtain from each author of the Work Product, to the extent the law permits, written consent to the Client using, adapting and publishing it without attribution.</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this agreement ends and, for trade secrets, for as long as they remain trade secrets.</w:t>
      </w:r>
    </w:p>
    <w:p>
      <w:pPr>
        <w:spacing w:after="120"/>
      </w:pPr>
      <w:r>
        <w:t xml:space="preserve">Neither party may name the other as a client or supplier, or describe the Services, in any publicity without the other's prior written consent.</w:t>
      </w:r>
    </w:p>
    <w:p>
      <w:pPr>
        <w:pStyle w:val="Heading2"/>
      </w:pPr>
      <w:r>
        <w:t xml:space="preserve">Data Protection</w:t>
      </w:r>
    </w:p>
    <w:p>
      <w:pPr>
        <w:spacing w:after="120"/>
      </w:pPr>
      <w:r>
        <w:t xml:space="preserve">Each party must comply with applicable data protection law, including Federal Decree-Law No. 45 of 2021 on the Protection of Personal Data. Where the Consultant processes personal data on the Client's behalf, it must: process it only on the Client's documented instructions; ensure that its personnel are bound by confidentiality; apply appropriate technical and organisational security measures; engage a sub-processor only with the Client's prior written authorisation and on equivalent written terms; assist the Client with data subjects' requests and its other compliance obligations; notify the Client without undue delay of any personal data breach; transfer the personal data outside the United Arab Emirates only on the Client's instructions and as the law permits; delete or return it when the Services end, unless the law requires it to be kept; and give the Client the information it reasonably needs to verify compliance.</w:t>
      </w:r>
    </w:p>
    <w:p>
      <w:pPr>
        <w:pStyle w:val="Heading2"/>
      </w:pPr>
      <w:r>
        <w:t xml:space="preserve">Anti-Bribery</w:t>
      </w:r>
    </w:p>
    <w:p>
      <w:pPr>
        <w:spacing w:after="120"/>
      </w:pPr>
      <w:r>
        <w:t xml:space="preserve">Each party must comply with all applicable anti-bribery and anti-corruption laws. The Consultant must not offer, give, request or accept any bribe, commission or other improper advantage in connection with this agreement, must maintain procedures adequate to prevent its personnel and subcontractors from doing so, and must promptly report to the Client any request for one. The Client may terminate this agreement immediately by written notice if the Consultant breaches this clause.</w:t>
      </w:r>
    </w:p>
    <w:p>
      <w:pPr>
        <w:pStyle w:val="Heading2"/>
      </w:pPr>
      <w:r>
        <w:t xml:space="preserve">Insurance</w:t>
      </w:r>
    </w:p>
    <w:p>
      <w:pPr>
        <w:spacing w:after="120"/>
      </w:pPr>
      <w:r>
        <w:t xml:space="preserve">The Consultant must maintain professional indemnity insurance with reputable insurers of at least AED 3,000,000 for each claim during the Term and for 6 years after it ends, so long as that cover remains available on reasonable commercial terms, together with any other insurance the law requires. It must provide evidence of that insurance on reasonable request.</w:t>
      </w:r>
    </w:p>
    <w:p>
      <w:pPr>
        <w:pStyle w:val="Heading2"/>
      </w:pPr>
      <w:r>
        <w:t xml:space="preserve">Warranties</w:t>
      </w:r>
    </w:p>
    <w:p>
      <w:pPr>
        <w:spacing w:after="120"/>
      </w:pPr>
      <w:r>
        <w:t xml:space="preserve">Each party warrants that it has full power and authority to enter into and perform this agreement, and that its signatory is authorised to sign it. The Consultant warrants that, so far as it is aware, the Work Product, other than material the Client supplied, will not infringe any third party's intellectual property rights. The Consultant does not warrant that any particular result will be achieved unless this agreement expressly says so. To the extent the law permits, the parties give no warranties other than those expressly stated in this agreement.</w:t>
      </w:r>
    </w:p>
    <w:p>
      <w:pPr>
        <w:pStyle w:val="Heading2"/>
      </w:pPr>
      <w:r>
        <w:t xml:space="preserve">Intellectual Property Indemnity</w:t>
      </w:r>
    </w:p>
    <w:p>
      <w:pPr>
        <w:spacing w:after="120"/>
      </w:pPr>
      <w:r>
        <w:t xml:space="preserve">The Consultant must indemnify the Client against losses, costs and reasonable legal fees arising from a third-party claim that the Client's use of the Work Product in accordance with this agreement infringes that third party's intellectual property rights, except to the extent the claim arises from material the Client supplied, a modification the Consultant did not make, or combination with items the Consultant did not supply. The Client must notify the Consultant of the claim promptly, let it conduct the defence and settlement, give reasonable help at the Consultant's cost, and make no admission without the Consultant's consent.</w:t>
      </w:r>
    </w:p>
    <w:p>
      <w:pPr>
        <w:pStyle w:val="Heading2"/>
      </w:pPr>
      <w:r>
        <w:t xml:space="preserve">Liability</w:t>
      </w:r>
    </w:p>
    <w:p>
      <w:pPr>
        <w:spacing w:after="120"/>
      </w:pPr>
      <w:r>
        <w:t xml:space="preserve">Nothing in this agreement limits or excludes liability for fraud, gross negligence or wilful misconduct, for death or personal injury, or for any other liability that cannot lawfully be limited or excluded.</w:t>
      </w:r>
    </w:p>
    <w:p>
      <w:pPr>
        <w:spacing w:after="120"/>
      </w:pPr>
      <w:r>
        <w:t xml:space="preserve">Except for the liabilities described above in this Liability clause, neither party is liable to the other, whether in contract, tort (including negligence), breach of statutory duty or otherwise, for loss of profit, revenue, business, goodwill or anticipated savings, or for any indirect or consequential loss. Each party's total liability arising out of or in connection with this agreement is limited to the Liability Cap. The Client's obligation to pay the Fees and expenses properly due is not limited by this clause.</w:t>
      </w:r>
    </w:p>
    <w:p>
      <w:pPr>
        <w:pStyle w:val="Heading2"/>
      </w:pPr>
      <w:r>
        <w:t xml:space="preserve">Term and Termination</w:t>
      </w:r>
    </w:p>
    <w:p>
      <w:pPr>
        <w:spacing w:after="120"/>
      </w:pPr>
      <w:r>
        <w:t xml:space="preserve">This agreement starts on the Start Date and continues for the Term, unless it is terminated earlier under this agreement. The parties may extend the Term by written agreement.</w:t>
      </w:r>
    </w:p>
    <w:p>
      <w:pPr>
        <w:spacing w:after="120"/>
      </w:pPr>
      <w:r>
        <w:t xml:space="preserve">Either party may terminate this agreement at any time by giving the other at least 30 days' written notice. If the Client ends this agreement under this clause before the work is complete, the Consultant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Consultant saved, or earned by using its time elsewhere, because of the termination; amounts paid under this agreement because of the termination count towards that compensation.</w:t>
      </w:r>
    </w:p>
    <w:p>
      <w:pPr>
        <w:spacing w:after="120"/>
      </w:pPr>
      <w:r>
        <w:t xml:space="preserve">Either party may terminate this agreement with immediate effect by written notice, without the need for a court order to the extent the law permits, if the other party commits a material breach that cannot be remedied, fails to remedy a material breach within 14 days after receiving written notice requiring it to do so, or becomes insolvent, enters bankruptcy or liquidation proceedings or ceases to carry on business. If the Consultant is an individual, this agreement ends automatically on the Consultant's death, and the Client may terminate it in the same way if the Consultant is unable through illness, injury or incapacity to provide the Services for more than 30 consecutive days.</w:t>
      </w:r>
    </w:p>
    <w:p>
      <w:pPr>
        <w:spacing w:after="120"/>
      </w:pPr>
      <w:r>
        <w:t xml:space="preserve">When this agreement ends: the Consultant must stop providing the Services and deliver to the Client the Work Product produced up to that date; each party must return or securely destroy the other's Confidential Information on request, except copies the law requires it to keep; and the Client must pay the Fees for Services performed, and expenses properly incurred, up to that date. Termination does not affect rights accrued before it. The Interpretation, Advice, Intellectual Property, Confidentiality, Warranties, Liability, Notices, General and Governing Law and Disputes clauses continue after termination, as do the Client's obligation to pay the Fees and expenses accrued up to that date, the Status clause as it allocates responsibility for personnel and tax and, where this agreement includes them, the Intellectual Property Indemnity and Data Protection clauses, the Insurance clause for the period it states after this agreement ends and the Non-Solicitation clause for the period it states, together with any other provision intended to continue.</w:t>
      </w:r>
    </w:p>
    <w:p>
      <w:pPr>
        <w:pStyle w:val="Heading2"/>
      </w:pPr>
      <w:r>
        <w:t xml:space="preserve">Non-Solicitation</w:t>
      </w:r>
    </w:p>
    <w:p>
      <w:pPr>
        <w:spacing w:after="120"/>
      </w:pPr>
      <w:r>
        <w:t xml:space="preserve">During the Term and for 6 months afterwards, neither party may, without the other's prior written consent, solicit for employment or engagement any employee or individual consultant of the other who was materially involved in the Services. This does not restrict general recruitment advertising not targeted at those people, or hiring a person who responds to it.</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days, either party may terminate this agreement by written notice.</w:t>
      </w:r>
    </w:p>
    <w:p>
      <w:pPr>
        <w:pStyle w:val="Heading2"/>
      </w:pPr>
      <w:r>
        <w:t xml:space="preserve">Notices</w:t>
      </w:r>
    </w:p>
    <w:p>
      <w:pPr>
        <w:spacing w:after="120"/>
      </w:pPr>
      <w:r>
        <w:t xml:space="preserve">A notice under this agreement must be in writing and delivered by hand, by courier or by email to the Client at [Client notice address and email] or to the Consultant at [Consultant notice address and email],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other's prior written consent, which must not be unreasonably withheld. The Consultant remains responsible for the acts and omissions of any subcontractor as if they were its own.</w:t>
      </w:r>
    </w:p>
    <w:p>
      <w:pPr>
        <w:spacing w:after="120"/>
      </w:pPr>
      <w:r>
        <w:t xml:space="preserve">This agreement is the entire agreement between the parties about its subject matter and supersedes all earlier agreements, arrangements and understandings about it. Each party acknowledges that it has not relied on any statement or representation not set out in this agreement, but nothing in this clause limits liability for fraud. A variation is effective only if it is in writing and signed by or on behalf of each party. A failure or delay in exercising a right is not a waiver of it. If any provision is invalid or unenforceable, the rest of this agreement remains in force. A person who is not a party to this agreement has no right to enforce any of its terms. This agreement may be signed in counterparts and electronically.</w:t>
      </w:r>
    </w:p>
    <w:p>
      <w:pPr>
        <w:spacing w:after="120"/>
      </w:pPr>
      <w:r>
        <w:t xml:space="preserve">This agreement is made in English. If it is translated into Arabic or any other language, including for filing with a court, the English text prevails between the parties to the extent the law permits.</w:t>
      </w:r>
    </w:p>
    <w:p>
      <w:pPr>
        <w:pStyle w:val="Heading2"/>
      </w:pPr>
      <w:r>
        <w:t xml:space="preserve">Governing Law and Disputes</w:t>
      </w:r>
    </w:p>
    <w:p>
      <w:pPr>
        <w:spacing w:after="120"/>
      </w:pPr>
      <w:r>
        <w:t xml:space="preserve">This agreement is governed by the laws of the Emirate of Dubai and the federal laws of the United Arab Emirates as they apply there.</w:t>
      </w:r>
    </w:p>
    <w:p>
      <w:pPr>
        <w:spacing w:after="120"/>
      </w:pPr>
      <w:r>
        <w:t xml:space="preserve">The parties must first try in good faith to settle any dispute arising out of or in connection with this agreement through their senior representatives within 30 days after either gives notice of it. If they do not, the courts of the Emirate of Dubai (which, for clarity, do not include the courts of the Dubai International Financial Centre or the Abu Dhabi Global Market) have exclusive jurisdiction to settle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Consultancy Agreement</dc:title>
  <dc:creator>Mike's Templates</dc:creator>
  <cp:lastModifiedBy>Un-named</cp:lastModifiedBy>
  <cp:revision>1</cp:revision>
  <dcterms:created xsi:type="dcterms:W3CDTF">2026-11-03T03:24:07.120Z</dcterms:created>
  <dcterms:modified xsi:type="dcterms:W3CDTF">2026-11-03T03:24:07.120Z</dcterms:modified>
</cp:coreProperties>
</file>

<file path=docProps/custom.xml><?xml version="1.0" encoding="utf-8"?>
<Properties xmlns="http://schemas.openxmlformats.org/officeDocument/2006/custom-properties" xmlns:vt="http://schemas.openxmlformats.org/officeDocument/2006/docPropsVTypes"/>
</file>