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Convertible Loan Note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[Investor legal name and details] (the "Investor").</w:t>
      </w:r>
    </w:p>
    <w:p>
      <w:pPr>
        <w:pStyle w:val="Heading2"/>
      </w:pPr>
      <w:r>
        <w:t xml:space="preserve">Key Terms</w:t>
      </w:r>
    </w:p>
    <w:p>
      <w:pPr>
        <w:spacing w:after="120"/>
      </w:pPr>
      <w:r>
        <w:t xml:space="preserve">"Principal Amount" means [Principal amount (with currency)].</w:t>
      </w:r>
    </w:p>
    <w:p>
      <w:pPr>
        <w:spacing w:after="120"/>
      </w:pPr>
      <w:r>
        <w:t xml:space="preserve">"Funding Date" means [Funding date].</w:t>
      </w:r>
    </w:p>
    <w:p>
      <w:pPr>
        <w:spacing w:after="120"/>
      </w:pPr>
      <w:r>
        <w:t xml:space="preserve">"Use of Proceeds" means the general working capital and business purposes of the Company.</w:t>
      </w:r>
    </w:p>
    <w:p>
      <w:pPr>
        <w:spacing w:after="120"/>
      </w:pPr>
      <w:r>
        <w:t xml:space="preserve">"Interest Rate" means [Annual interest rate] per annum.</w:t>
      </w:r>
    </w:p>
    <w:p>
      <w:pPr>
        <w:spacing w:after="120"/>
      </w:pPr>
      <w:r>
        <w:t xml:space="preserve">"Maturity Date" means [Maturity date].</w:t>
      </w:r>
    </w:p>
    <w:p>
      <w:pPr>
        <w:spacing w:after="120"/>
      </w:pPr>
      <w:r>
        <w:t xml:space="preserve">"Qualified Financing Amount" means [Minimum new money for a Qualified Financing].</w:t>
      </w:r>
    </w:p>
    <w:p>
      <w:pPr>
        <w:spacing w:after="120"/>
      </w:pPr>
      <w:r>
        <w:t xml:space="preserve">"Valuation Cap" means [Valuation cap].</w:t>
      </w:r>
    </w:p>
    <w:p>
      <w:pPr>
        <w:spacing w:after="120"/>
      </w:pPr>
      <w:r>
        <w:t xml:space="preserve">"Discount" means [Conversion discount].</w:t>
      </w:r>
    </w:p>
    <w:p>
      <w:pPr>
        <w:spacing w:after="120"/>
      </w:pPr>
      <w:r>
        <w:t xml:space="preserve">"Fallback Valuation" means [Valuation for conversion at maturity, on an exit or on default].</w:t>
      </w:r>
    </w:p>
    <w:p>
      <w:pPr>
        <w:spacing w:after="120"/>
      </w:pPr>
      <w:r>
        <w:t xml:space="preserve">"Exit Multiple" means [Exit return multiple].</w:t>
      </w:r>
    </w:p>
    <w:p>
      <w:pPr>
        <w:spacing w:after="120"/>
      </w:pPr>
      <w:r>
        <w:t xml:space="preserve">"Default Rate" means [Default interest rate] per annum.</w:t>
      </w:r>
    </w:p>
    <w:p>
      <w:pPr>
        <w:spacing w:after="120"/>
      </w:pPr>
      <w:r>
        <w:t xml:space="preserve">"Senior Debt" means [Senior debt (lender and facility)].</w:t>
      </w:r>
    </w:p>
    <w:p>
      <w:pPr>
        <w:spacing w:after="120"/>
      </w:pPr>
      <w:r>
        <w:t xml:space="preserve">"Arbitration Institution" means [Arbitration institution].</w:t>
      </w:r>
    </w:p>
    <w:p>
      <w:pPr>
        <w:pStyle w:val="Heading2"/>
      </w:pPr>
      <w:r>
        <w:t xml:space="preserve">Definitions and Interpretation</w:t>
      </w:r>
    </w:p>
    <w:p>
      <w:pPr>
        <w:spacing w:after="120"/>
      </w:pPr>
      <w:r>
        <w:t xml:space="preserve">"Business Day" means a day, other than a Saturday, Sunday or public holiday in the DIFC, on which banks are open for general business in Dubai.</w:t>
      </w:r>
    </w:p>
    <w:p>
      <w:pPr>
        <w:spacing w:after="120"/>
      </w:pPr>
      <w:r>
        <w:t xml:space="preserve">"Conversion Amount" means the Principal Amount outstanding at the relevant time together with all interest accrued on it and not paid.</w:t>
      </w:r>
    </w:p>
    <w:p>
      <w:pPr>
        <w:spacing w:after="120"/>
      </w:pPr>
      <w:r>
        <w:t xml:space="preserve">"Conversion Shares" means the shares issued to the Investor on conversion of the Note.</w:t>
      </w:r>
    </w:p>
    <w:p>
      <w:pPr>
        <w:spacing w:after="120"/>
      </w:pPr>
      <w:r>
        <w:t xml:space="preserve">"Qualified Financing" means the first issue of new shares by the Company for cash after the date of this agreement, in one transaction or a series of related transactions, in which the total subscription price received in cash (not counting the conversion of the Note or of any other loan or convertible instrument) is at least the Qualified Financing Amount.</w:t>
      </w:r>
    </w:p>
    <w:p>
      <w:pPr>
        <w:spacing w:after="120"/>
      </w:pPr>
      <w:r>
        <w:t xml:space="preserve">"Qualified Financing Shares" means the class of shares issued for cash to new investors in the Qualified Financing.</w:t>
      </w:r>
    </w:p>
    <w:p>
      <w:pPr>
        <w:spacing w:after="120"/>
      </w:pPr>
      <w:r>
        <w:t xml:space="preserve">"Financing Price" means the lowest price per share paid in cash for Qualified Financing Shares in the Qualified Financing.</w:t>
      </w:r>
    </w:p>
    <w:p>
      <w:pPr>
        <w:spacing w:after="120"/>
      </w:pPr>
      <w:r>
        <w:t xml:space="preserve">"Fully Diluted Share Capital" means the total number of shares of the Company in issue immediately before the relevant conversion, plus all shares that would be issued if every outstanding option, warrant and other right to acquire shares were exercised in full, plus all shares reserved for any employee share incentive plan (whether or not granted), but excluding shares to be issued on conversion of the Note or of any other convertible instrument converting at the same time.</w:t>
      </w:r>
    </w:p>
    <w:p>
      <w:pPr>
        <w:spacing w:after="120"/>
      </w:pPr>
      <w:r>
        <w:t xml:space="preserve">"Fallback Price" means the Fallback Valuation divided by the Fully Diluted Share Capital.</w:t>
      </w:r>
    </w:p>
    <w:p>
      <w:pPr>
        <w:spacing w:after="120"/>
      </w:pPr>
      <w:r>
        <w:t xml:space="preserve">"Exit Event" means a sale of shares in the Company as a result of which any person, alone or with persons acting in concert with it, holds more than 50 per cent of the voting rights in the Company; a sale of all or substantially all of the Company's business and assets; or a Listing.</w:t>
      </w:r>
    </w:p>
    <w:p>
      <w:pPr>
        <w:spacing w:after="120"/>
      </w:pPr>
      <w:r>
        <w:t xml:space="preserve">"Listing" means the admission of any of the Company's shares to trading on a regulated or recognised securities exchange.</w:t>
      </w:r>
    </w:p>
    <w:p>
      <w:pPr>
        <w:spacing w:after="120"/>
      </w:pPr>
      <w:r>
        <w:t xml:space="preserve">"Insolvency Event" means that the Company cannot pay its debts as they fall due; that a liquidator, receiver, administrator or other insolvency officer is appointed over the Company or a material part of its assets; that the Company applies for, or becomes subject to, a rehabilitation, composition or arrangement with its creditors generally under the DIFC insolvency law; that a resolution is passed or an order made for its winding up; or that anything similar happens to it in another country.</w:t>
      </w:r>
    </w:p>
    <w:p>
      <w:pPr>
        <w:spacing w:after="120"/>
      </w:pPr>
      <w:r>
        <w:t xml:space="preserve">"Ordinary Shares" means the ordinary shares in the capital of the Company or, if there is more than one class of ordinary shares, the class most recently issued for cash.</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the Investor is an individual, "it" and "its" include him or her, and "his" and "her", and a reference to the Investor's power and authority includes his or her legal capacity.</w:t>
      </w:r>
    </w:p>
    <w:p>
      <w:pPr>
        <w:pStyle w:val="Heading2"/>
      </w:pPr>
      <w:r>
        <w:t xml:space="preserve">The Note</w:t>
      </w:r>
    </w:p>
    <w:p>
      <w:pPr>
        <w:spacing w:after="120"/>
      </w:pPr>
      <w:r>
        <w:t xml:space="preserve">This agreement constitutes an unsecured convertible loan note of the Company in the Principal Amount (the "Note"), held by the Investor.</w:t>
      </w:r>
    </w:p>
    <w:p>
      <w:pPr>
        <w:spacing w:after="120"/>
      </w:pPr>
      <w:r>
        <w:t xml:space="preserve">The Investor shall pay the Principal Amount to the Company on the Funding Date in cleared funds, to the bank account the Company notifies to the Investor in writing at least 3 Business Days before the Funding Date.</w:t>
      </w:r>
    </w:p>
    <w:p>
      <w:pPr>
        <w:spacing w:after="120"/>
      </w:pPr>
      <w:r>
        <w:t xml:space="preserve">The Investor need pay the Principal Amount only once the Company has given it, before the Funding Date, a certified copy of the resolutions of its directors, and of its shareholders where the DIFC Companies Law or its articles of association require them, approving this agreement and the issue of the Conversion Shares and waiving or disapplying pre-emption rights over them, a certificate from the DIFC Registrar of Companies that the Company is in good standing, and every consent that existing shareholders or investors must give under the articles or any shareholders' agreement.</w:t>
      </w:r>
    </w:p>
    <w:p>
      <w:pPr>
        <w:spacing w:after="120"/>
      </w:pPr>
      <w:r>
        <w:t xml:space="preserve">The Company shall use the Principal Amount only for the Use of Proceeds.</w:t>
      </w:r>
    </w:p>
    <w:p>
      <w:pPr>
        <w:spacing w:after="120"/>
      </w:pPr>
      <w:r>
        <w:t xml:space="preserve">The Note is an unsecured obligation of the Company. Until it is converted or repaid, it ranks at least equally with all other unsecured and unsubordinated obligations of the Company, except obligations preferred by law and subject to the Subordination clause where it is included.</w:t>
      </w:r>
    </w:p>
    <w:p>
      <w:pPr>
        <w:spacing w:after="120"/>
      </w:pPr>
      <w:r>
        <w:t xml:space="preserve">The Company shall keep at its registered office in the DIFC a register of noteholders that records the Investor as holder of the Note, and shall give the Investor, on request, a certificate that states the Principal Amount and the date of issue.</w:t>
      </w:r>
    </w:p>
    <w:p>
      <w:pPr>
        <w:pStyle w:val="Heading2"/>
      </w:pPr>
      <w:r>
        <w:t xml:space="preserve">Interest</w:t>
      </w:r>
    </w:p>
    <w:p>
      <w:pPr>
        <w:spacing w:after="120"/>
      </w:pPr>
      <w:r>
        <w:t xml:space="preserve">Interest accrues daily on the outstanding Principal Amount at the Interest Rate from the Funding Date until the Note is converted or repaid, on the basis of a 365-day year, as simple interest that is not added to the Principal Amount. The Company and the Investor record that the Interest Rate is a commercial rate agreed between them at arm's length as the price for the use of the Principal Amount.</w:t>
      </w:r>
    </w:p>
    <w:p>
      <w:pPr>
        <w:spacing w:after="120"/>
      </w:pPr>
      <w:r>
        <w:t xml:space="preserve">Accrued interest is not payable in cash before the Note is repaid. On conversion, accrued interest forms part of the Conversion Amount and converts with the Principal Amount; on repayment, it is paid together with the Principal Amount.</w:t>
      </w:r>
    </w:p>
    <w:p>
      <w:pPr>
        <w:pStyle w:val="Heading2"/>
      </w:pPr>
      <w:r>
        <w:t xml:space="preserve">Conversion on a Qualified Financing</w:t>
      </w:r>
    </w:p>
    <w:p>
      <w:pPr>
        <w:spacing w:after="120"/>
      </w:pPr>
      <w:r>
        <w:t xml:space="preserve">If a Qualified Financing completes before the Note is repaid, the Conversion Amount automatically converts, on completion of the Qualified Financing, into Qualified Financing Shares at the Conversion Price.</w:t>
      </w:r>
    </w:p>
    <w:p>
      <w:pPr>
        <w:spacing w:after="120"/>
      </w:pPr>
      <w:r>
        <w:t xml:space="preserve">The "Conversion Price" is the lower of the Financing Price reduced by the Discount, and the Valuation Cap divided by the Fully Diluted Share Capital.</w:t>
      </w:r>
    </w:p>
    <w:p>
      <w:pPr>
        <w:spacing w:after="120"/>
      </w:pPr>
      <w:r>
        <w:t xml:space="preserve">If the Conversion Price, or any other price per share at which the Note converts under this agreement, would be less than the nominal value of the share to be issued, or any higher minimum issue price the law requires, it is increased to that amount.</w:t>
      </w:r>
    </w:p>
    <w:p>
      <w:pPr>
        <w:spacing w:after="120"/>
      </w:pPr>
      <w:r>
        <w:t xml:space="preserve">On any conversion under this agreement, the number of Conversion Shares is the Conversion Amount divided by the price per share at which that conversion takes place under this agreement, rounded down to the nearest whole share. The Investor waives any fraction of a share.</w:t>
      </w:r>
    </w:p>
    <w:p>
      <w:pPr>
        <w:spacing w:after="120"/>
      </w:pPr>
      <w:r>
        <w:t xml:space="preserve">If the Financing Price is stated in a currency other than that of the Principal Amount, the Conversion Amount is converted into that currency at the spot rate quoted by the Company's principal bank on the Business Day before completion of the Qualified Financing.</w:t>
      </w:r>
    </w:p>
    <w:p>
      <w:pPr>
        <w:pStyle w:val="Heading2"/>
      </w:pPr>
      <w:r>
        <w:t xml:space="preserve">Exit Event</w:t>
      </w:r>
    </w:p>
    <w:p>
      <w:pPr>
        <w:spacing w:after="120"/>
      </w:pPr>
      <w:r>
        <w:t xml:space="preserve">If an Exit Event occurs before the Note is converted or repaid, the Investor may, by written notice given before completion of the Exit Event, elect either to be repaid the Conversion Amount on completion or to convert the Conversion Amount, immediately before completion, into Ordinary Shares at the Fallback Price. If the Investor makes no election, the Company shall repay the Conversion Amount on completion.</w:t>
      </w:r>
    </w:p>
    <w:p>
      <w:pPr>
        <w:pStyle w:val="Heading2"/>
      </w:pPr>
      <w:r>
        <w:t xml:space="preserve">Maturity</w:t>
      </w:r>
    </w:p>
    <w:p>
      <w:pPr>
        <w:spacing w:after="120"/>
      </w:pPr>
      <w:r>
        <w:t xml:space="preserve">If the Note has not been converted or repaid by the Maturity Date, the Investor may, by written notice given within 20 Business Days after the Maturity Date, elect either to be repaid the Conversion Amount or to convert it into Ordinary Shares at the Fallback Price. The Company shall complete the repayment or conversion within 10 Business Days after receiving the election. If the Investor makes no election in time, the Company shall repay the Conversion Amount within 10 Business Days after the end of the election period.</w:t>
      </w:r>
    </w:p>
    <w:p>
      <w:pPr>
        <w:pStyle w:val="Heading2"/>
      </w:pPr>
      <w:r>
        <w:t xml:space="preserve">Prepayment</w:t>
      </w:r>
    </w:p>
    <w:p>
      <w:pPr>
        <w:spacing w:after="120"/>
      </w:pPr>
      <w:r>
        <w:t xml:space="preserve">The Company may not repay or prepay the Note in whole or in part before the Maturity Date without the Investor's prior written consent, except as this agreement requires.</w:t>
      </w:r>
    </w:p>
    <w:p>
      <w:pPr>
        <w:pStyle w:val="Heading2"/>
      </w:pPr>
      <w:r>
        <w:t xml:space="preserve">Conversion Procedure</w:t>
      </w:r>
    </w:p>
    <w:p>
      <w:pPr>
        <w:spacing w:after="120"/>
      </w:pPr>
      <w:r>
        <w:t xml:space="preserve">The Company shall give the Investor written notice of a proposed Qualified Financing or Exit Event, with its principal terms, at least 10 Business Days before its expected completion.</w:t>
      </w:r>
    </w:p>
    <w:p>
      <w:pPr>
        <w:spacing w:after="120"/>
      </w:pPr>
      <w:r>
        <w:t xml:space="preserve">On conversion, the Conversion Amount is applied in paying up the Conversion Shares in full, and the Note is discharged to the extent of the amount converted.</w:t>
      </w:r>
    </w:p>
    <w:p>
      <w:pPr>
        <w:spacing w:after="120"/>
      </w:pPr>
      <w:r>
        <w:t xml:space="preserve">On a conversion in a Qualified Financing, the Investor shall sign the shareholders' agreement and other investment documents signed by the new investors in that financing, on substantially the same terms, but is not required to give any warranty or undertaking other than as to its own title, capacity, authority and investor status.</w:t>
      </w:r>
    </w:p>
    <w:p>
      <w:pPr>
        <w:spacing w:after="120"/>
      </w:pPr>
      <w:r>
        <w:t xml:space="preserve">After a conversion the Company shall allot the Conversion Shares to the Investor as fully paid shares, enter the Investor in its register of members, give the Investor written evidence of the holding within 10 Business Days, and file the return of allotment with the DIFC Registrar of Companies within the period that the DIFC Companies Law allows.</w:t>
      </w:r>
    </w:p>
    <w:p>
      <w:pPr>
        <w:spacing w:after="120"/>
      </w:pPr>
      <w:r>
        <w:t xml:space="preserve">The Conversion Shares rank equally in all respects with the other shares of the same class then in issue.</w:t>
      </w:r>
    </w:p>
    <w:p>
      <w:pPr>
        <w:pStyle w:val="Heading2"/>
      </w:pPr>
      <w:r>
        <w:t xml:space="preserve">Company Undertakings</w:t>
      </w:r>
    </w:p>
    <w:p>
      <w:pPr>
        <w:spacing w:after="120"/>
      </w:pPr>
      <w:r>
        <w:t xml:space="preserve">For as long as the Note is outstanding, the Company shall make sure that its directors have the authority under its articles of association and the DIFC Companies Law to allot the Conversion Shares, and that every statutory or contractual right of pre-emption over them has been disapplied or waived by those who hold it.</w:t>
      </w:r>
    </w:p>
    <w:p>
      <w:pPr>
        <w:spacing w:after="120"/>
      </w:pPr>
      <w:r>
        <w:t xml:space="preserve">While the Note is outstanding, the Company shall deliver to the Investor a copy of its annual accounts promptly after they are approved, and shall notify the Investor promptly after becoming aware of any Event of Default.</w:t>
      </w:r>
    </w:p>
    <w:p>
      <w:pPr>
        <w:spacing w:after="120"/>
      </w:pPr>
      <w:r>
        <w:t xml:space="preserve">While the Note is outstanding, the Company shall not, without the Investor's prior written consent, create any security over its assets other than in the ordinary course of business; incur any borrowing that ranks ahead of the Note, other than any Senior Debt; pay any dividend or make any other distribution to its shareholders; or redeem or buy back any of its shares, other than from a departing founder or employee at no more than the price they paid.</w:t>
      </w:r>
    </w:p>
    <w:p>
      <w:pPr>
        <w:pStyle w:val="Heading2"/>
      </w:pPr>
      <w:r>
        <w:t xml:space="preserve">Warranties</w:t>
      </w:r>
    </w:p>
    <w:p>
      <w:pPr>
        <w:spacing w:after="120"/>
      </w:pPr>
      <w:r>
        <w:t xml:space="preserve">The Company warrants to the Investor, on the date of this agreement and on the Funding Date, that it is duly incorporated and validly existing under the laws of its place of incorporation; that it has the power to enter into and perform this agreement and to issue the Conversion Shares, and has taken all corporate action needed to do so; and that entering into and performing this agreement does not breach its constitutional documents, any law binding on it or any agreement to which it is a party.</w:t>
      </w:r>
    </w:p>
    <w:p>
      <w:pPr>
        <w:spacing w:after="120"/>
      </w:pPr>
      <w:r>
        <w:t xml:space="preserve">The Company warrants to the Investor that the information it has given the Investor in writing about its issued share capital, options and other rights to acquire its shares is complete and accurate at the date of this agreement.</w:t>
      </w:r>
    </w:p>
    <w:p>
      <w:pPr>
        <w:spacing w:after="120"/>
      </w:pPr>
      <w:r>
        <w:t xml:space="preserve">The Investor warrants to the Company that it has full power and authority to enter into and perform this agreement, and that it is a Professional Client, or otherwise a person to whom the Note may lawfully be offered without a prospectus under an exemption in the rules of the Dubai Financial Services Authority, and that it is acquiring the Note for investment and not with a view to offering it to the public.</w:t>
      </w:r>
    </w:p>
    <w:p>
      <w:pPr>
        <w:spacing w:after="120"/>
      </w:pPr>
      <w:r>
        <w:t xml:space="preserve">The Investor acknowledges that an investment in the Note is speculative, that it may lose the whole of the Principal Amount, and that it has made its own assessment of the Company and the investment.</w:t>
      </w:r>
    </w:p>
    <w:p>
      <w:pPr>
        <w:spacing w:after="120"/>
      </w:pPr>
      <w:r>
        <w:t xml:space="preserve">If the Investor is an individual, or the Company gives the Investor personal data about its shareholders, directors or staff, each party shall process that data in accordance with the DIFC Data Protection Law and use it only for the Note and for conversion into shares.</w:t>
      </w:r>
    </w:p>
    <w:p>
      <w:pPr>
        <w:spacing w:after="120"/>
      </w:pPr>
      <w:r>
        <w:t xml:space="preserve">Neither party shall offer or sell the Note, or any Conversion Shares, to the public in or from the DIFC, or to a person who is not a Professional Client or otherwise within an exemption under the Dubai Financial Services Authority's rules, without first obtaining any approval those rules require, and the Company shall record on the register that these restrictions apply to a transferee.</w:t>
      </w:r>
    </w:p>
    <w:p>
      <w:pPr>
        <w:pStyle w:val="Heading2"/>
      </w:pPr>
      <w:r>
        <w:t xml:space="preserve">Events of Default</w:t>
      </w:r>
    </w:p>
    <w:p>
      <w:pPr>
        <w:spacing w:after="120"/>
      </w:pPr>
      <w:r>
        <w:t xml:space="preserve">Each of the following is an "Event of Default": the Company fails to pay any amount due under this agreement within 5 Business Days after its due date; the Company materially breaches any other obligation under this agreement and, if the breach can be remedied, does not remedy it within 20 Business Days after written notice from the Investor; any warranty given by the Company is materially untrue when given; an Insolvency Event occurs; or the Company ceases, or threatens to cease, to carry on all or substantially all of its business.</w:t>
      </w:r>
    </w:p>
    <w:p>
      <w:pPr>
        <w:spacing w:after="120"/>
      </w:pPr>
      <w:r>
        <w:t xml:space="preserve">At any time after an Event of Default occurs and while it is continuing, the Investor may by written notice to the Company declare the Conversion Amount immediately due and payable, and the Company shall pay it immediately.</w:t>
      </w:r>
    </w:p>
    <w:p>
      <w:pPr>
        <w:spacing w:after="120"/>
      </w:pPr>
      <w:r>
        <w:t xml:space="preserve">If the Company does not pay an amount when due, interest accrues on the overdue amount at the Default Rate from the due date until payment, both before and after judgment, in place of the Interest Rate on that amount. The parties agree that the Default Rate protects the Investor's legitimate interest in timely repayment; if a court or tribunal reduces it because it is grossly excessive, the Default Rate is the rate the court or tribunal allows.</w:t>
      </w:r>
    </w:p>
    <w:p>
      <w:pPr>
        <w:spacing w:after="120"/>
      </w:pPr>
      <w:r>
        <w:t xml:space="preserve">If a court or arbitral tribunal reduces any Exit Multiple, or any other sum payable on an Exit Event or an Event of Default, because it is grossly excessive or manifestly disproportionate, or holds it unenforceable in part, it is to be enforced at the amount the court or tribunal allows and the rest of this agreement is not affected.</w:t>
      </w:r>
    </w:p>
    <w:p>
      <w:pPr>
        <w:pStyle w:val="Heading2"/>
      </w:pPr>
      <w:r>
        <w:t xml:space="preserve">Subordination</w:t>
      </w:r>
    </w:p>
    <w:p>
      <w:pPr>
        <w:spacing w:after="120"/>
      </w:pPr>
      <w:r>
        <w:t xml:space="preserve">The Investor's right to payment under this agreement is subordinated to the Senior Debt. The Company shall not pay any amount under this agreement, other than by conversion, while any Senior Debt is due and unpaid or an event of default under the Senior Debt is continuing.</w:t>
      </w:r>
    </w:p>
    <w:p>
      <w:pPr>
        <w:spacing w:after="120"/>
      </w:pPr>
      <w:r>
        <w:t xml:space="preserve">The Investor shall, at the Company's request, enter into a subordination or intercreditor agreement with the holders of the Senior Debt on customary terms, provided that it does not affect the Investor's conversion rights under this agreement.</w:t>
      </w:r>
    </w:p>
    <w:p>
      <w:pPr>
        <w:pStyle w:val="Heading2"/>
      </w:pPr>
      <w:r>
        <w:t xml:space="preserve">Transfers</w:t>
      </w:r>
    </w:p>
    <w:p>
      <w:pPr>
        <w:spacing w:after="120"/>
      </w:pPr>
      <w:r>
        <w:t xml:space="preserve">The Investor may not transfer the Note, or any interest in it, without the Company's prior written consent, which shall not be unreasonably withheld or delayed, except to an affiliate of the Investor that first agrees in writing to be bound by this agreement.</w:t>
      </w:r>
    </w:p>
    <w:p>
      <w:pPr>
        <w:spacing w:after="120"/>
      </w:pPr>
      <w:r>
        <w:t xml:space="preserve">The Company may not assign or transfer any of its rights or obligations under this agreement.</w:t>
      </w:r>
    </w:p>
    <w:p>
      <w:pPr>
        <w:spacing w:after="120"/>
      </w:pPr>
      <w:r>
        <w:t xml:space="preserve">A transfer of the Note takes effect only when the Company has entered the transferee in its register of noteholders.</w:t>
      </w:r>
    </w:p>
    <w:p>
      <w:pPr>
        <w:pStyle w:val="Heading2"/>
      </w:pPr>
      <w:r>
        <w:t xml:space="preserve">Payments and Tax</w:t>
      </w:r>
    </w:p>
    <w:p>
      <w:pPr>
        <w:spacing w:after="120"/>
      </w:pPr>
      <w:r>
        <w:t xml:space="preserve">All payments under this agreement shall be made in the currency of the Principal Amount, in cleared funds, to the account the recipient notifies in writing.</w:t>
      </w:r>
    </w:p>
    <w:p>
      <w:pPr>
        <w:spacing w:after="120"/>
      </w:pPr>
      <w:r>
        <w:t xml:space="preserve">The Company shall pay every amount due under this agreement in full, without set-off, counterclaim or deduction, except for a set-off that DIFC insolvency law requires on a winding up, and except for a deduction for tax the Payments and Tax clause allows.</w:t>
      </w:r>
    </w:p>
    <w:p>
      <w:pPr>
        <w:spacing w:after="120"/>
      </w:pPr>
      <w:r>
        <w:t xml:space="preserve">All payments under this agreement are to be made without deduction for tax unless the law requires one. If the Company is required to deduct tax, it shall pay the amount deducted to the authority on time, give the Investor the receipt, and the net payment discharges its obligation. The Investor shall provide the tax residence certificate or form the Company reasonably requests to establish whether any deduction is required.</w:t>
      </w:r>
    </w:p>
    <w:p>
      <w:pPr>
        <w:spacing w:after="120"/>
      </w:pPr>
      <w:r>
        <w:t xml:space="preserve">Each party is responsible for its own UAE corporate tax and any other tax on its income from the Note. The Company shall tell the Investor within 10 Business Days if it learns that a withholding or deduction will apply to a payment, so that the parties can consider whether a different payment structure is available.</w:t>
      </w:r>
    </w:p>
    <w:p>
      <w:pPr>
        <w:pStyle w:val="Heading2"/>
      </w:pPr>
      <w:r>
        <w:t xml:space="preserve">Notices</w:t>
      </w:r>
    </w:p>
    <w:p>
      <w:pPr>
        <w:spacing w:after="120"/>
      </w:pPr>
      <w:r>
        <w:t xml:space="preserve">A notice under this agreement must be in writing and delivered by hand, by courier or by email, to the Company at [Company notice address and email] and to the Investor at [Investor notice address and email], or to any other address a party notifies to the other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This agreement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both parties.</w:t>
      </w:r>
    </w:p>
    <w:p>
      <w:pPr>
        <w:spacing w:after="120"/>
      </w:pPr>
      <w:r>
        <w:t xml:space="preserve">A failure or delay in exercising a right is not a waiver of it, and a waiver is effective only if given in writing.</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Nothing in this agreement makes the Investor a shareholder of the Company before conversion, or creates a partnership or agency between the parties.</w:t>
      </w:r>
    </w:p>
    <w:p>
      <w:pPr>
        <w:spacing w:after="120"/>
      </w:pPr>
      <w:r>
        <w:t xml:space="preserve">Each party bears its own costs of negotiating and entering into this agreement.</w:t>
      </w:r>
    </w:p>
    <w:p>
      <w:pPr>
        <w:spacing w:after="120"/>
      </w:pPr>
      <w:r>
        <w:t xml:space="preserve">Each party shall sign all documents and do all things reasonably required to give full effect to this agreement.</w:t>
      </w:r>
    </w:p>
    <w:p>
      <w:pPr>
        <w:spacing w:after="120"/>
      </w:pPr>
      <w:r>
        <w:t xml:space="preserve">No person who is not a party may enforce any term of this agreement, whether under DIFC law on contractual rights of third parties or otherwise.</w:t>
      </w:r>
    </w:p>
    <w:p>
      <w:pPr>
        <w:spacing w:after="120"/>
      </w:pPr>
      <w:r>
        <w:t xml:space="preserve">This agreement may be signed in counterparts and by electronic signature, and the parties agree that an electronic signature is as binding under DIFC law as a handwritten one. A document to be signed in another form is not satisfied by an electronic signature unless the law allows it.</w:t>
      </w:r>
    </w:p>
    <w:p>
      <w:pPr>
        <w:pStyle w:val="Heading2"/>
      </w:pPr>
      <w:r>
        <w:t xml:space="preserve">Governing Law and Disputes</w:t>
      </w:r>
    </w:p>
    <w:p>
      <w:pPr>
        <w:spacing w:after="120"/>
      </w:pPr>
      <w:r>
        <w:t xml:space="preserve">This agreement, and any non-contractual obligation arising out of or in connection with it, is governed by the laws of the Dubai International Financial Centre. The parties agree that DIFC law, rather than the civil or commercial law that applies onshore in Dubai, governs the validity of the Note, its interest and default interest, and its conversion.</w:t>
      </w:r>
    </w:p>
    <w:p>
      <w:pPr>
        <w:spacing w:after="120"/>
      </w:pPr>
      <w:r>
        <w:t xml:space="preserve">The Courts of the Dubai International Financial Centre have exclusive jurisdiction over any dispute arising out of or in connection with this agreement, and each party agrees in writing to that jurisdiction and waives any objection that the DIFC Courts are an inconvenient forum. A judgment of the DIFC Courts may be enforced against the Company's assets in any court with jurisdiction over them.</w:t>
      </w:r>
    </w:p>
    <w:p>
      <w:pPr>
        <w:spacing w:after="120"/>
      </w:pPr>
      <w:r>
        <w:t xml:space="preserve">This agreement is made in English, and the English text prevails over any translation. A party that needs a certified Arabic translation to produce this agreement before an onshore authority or court bears its cost.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Convertible Loan Note</dc:title>
  <dc:creator>Mike's Templates</dc:creator>
  <cp:lastModifiedBy>Un-named</cp:lastModifiedBy>
  <cp:revision>1</cp:revision>
  <dcterms:created xsi:type="dcterms:W3CDTF">2026-11-03T03:24:07.221Z</dcterms:created>
  <dcterms:modified xsi:type="dcterms:W3CDTF">2026-11-03T03:24:07.221Z</dcterms:modified>
</cp:coreProperties>
</file>

<file path=docProps/custom.xml><?xml version="1.0" encoding="utf-8"?>
<Properties xmlns="http://schemas.openxmlformats.org/officeDocument/2006/custom-properties" xmlns:vt="http://schemas.openxmlformats.org/officeDocument/2006/docPropsVTypes"/>
</file>