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Convertible Loan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[Investor legal name and details] (the "Investor").</w:t>
      </w:r>
    </w:p>
    <w:p>
      <w:pPr>
        <w:pStyle w:val="Heading2"/>
      </w:pPr>
      <w:r>
        <w:t xml:space="preserve">Key Terms</w:t>
      </w:r>
    </w:p>
    <w:p>
      <w:pPr>
        <w:spacing w:after="120"/>
      </w:pPr>
      <w:r>
        <w:t xml:space="preserve">"Principal Amount" means [Principal amount (with currency)].</w:t>
      </w:r>
    </w:p>
    <w:p>
      <w:pPr>
        <w:spacing w:after="120"/>
      </w:pPr>
      <w:r>
        <w:t xml:space="preserve">"Funding Date" means [Funding date].</w:t>
      </w:r>
    </w:p>
    <w:p>
      <w:pPr>
        <w:spacing w:after="120"/>
      </w:pPr>
      <w:r>
        <w:t xml:space="preserve">"Use of Proceeds" means the general working capital and business purposes of the Company.</w:t>
      </w:r>
    </w:p>
    <w:p>
      <w:pPr>
        <w:spacing w:after="120"/>
      </w:pPr>
      <w:r>
        <w:t xml:space="preserve">"Interest Rate" means [Annual interest rate] per annum.</w:t>
      </w:r>
    </w:p>
    <w:p>
      <w:pPr>
        <w:spacing w:after="120"/>
      </w:pPr>
      <w:r>
        <w:t xml:space="preserve">"Maturity Date" means [Maturity date].</w:t>
      </w:r>
    </w:p>
    <w:p>
      <w:pPr>
        <w:spacing w:after="120"/>
      </w:pPr>
      <w:r>
        <w:t xml:space="preserve">"Qualified Financing Amount" means [Minimum new money for a Qualified Financing].</w:t>
      </w:r>
    </w:p>
    <w:p>
      <w:pPr>
        <w:spacing w:after="120"/>
      </w:pPr>
      <w:r>
        <w:t xml:space="preserve">"Valuation Cap" means [Valuation cap].</w:t>
      </w:r>
    </w:p>
    <w:p>
      <w:pPr>
        <w:spacing w:after="120"/>
      </w:pPr>
      <w:r>
        <w:t xml:space="preserve">"Discount" means [Conversion discount].</w:t>
      </w:r>
    </w:p>
    <w:p>
      <w:pPr>
        <w:spacing w:after="120"/>
      </w:pPr>
      <w:r>
        <w:t xml:space="preserve">"Fallback Valuation" means [Valuation for conversion at maturity, on an exit or on default].</w:t>
      </w:r>
    </w:p>
    <w:p>
      <w:pPr>
        <w:spacing w:after="120"/>
      </w:pPr>
      <w:r>
        <w:t xml:space="preserve">"Exit Multiple" means [Exit return multiple].</w:t>
      </w:r>
    </w:p>
    <w:p>
      <w:pPr>
        <w:spacing w:after="120"/>
      </w:pPr>
      <w:r>
        <w:t xml:space="preserve">"Default Rate" means [Default interest rate] per annum.</w:t>
      </w:r>
    </w:p>
    <w:p>
      <w:pPr>
        <w:spacing w:after="120"/>
      </w:pPr>
      <w:r>
        <w:t xml:space="preserve">"Senior Debt" means [Senior debt (lender and facility)].</w:t>
      </w:r>
    </w:p>
    <w:p>
      <w:pPr>
        <w:spacing w:after="120"/>
      </w:pPr>
      <w:r>
        <w:t xml:space="preserve">"Emirate" means the Emirate of [Emirate].</w:t>
      </w:r>
    </w:p>
    <w:p>
      <w:pPr>
        <w:spacing w:after="120"/>
      </w:pPr>
      <w:r>
        <w:t xml:space="preserve">"Arbitration Institution" means [Arbitration institution].</w:t>
      </w:r>
    </w:p>
    <w:p>
      <w:pPr>
        <w:pStyle w:val="Heading2"/>
      </w:pPr>
      <w:r>
        <w:t xml:space="preserve">Definitions and Interpretation</w:t>
      </w:r>
    </w:p>
    <w:p>
      <w:pPr>
        <w:spacing w:after="120"/>
      </w:pPr>
      <w:r>
        <w:t xml:space="preserve">"Business Day" means a day other than a Saturday, Sunday or public holiday in the United Arab Emirates.</w:t>
      </w:r>
    </w:p>
    <w:p>
      <w:pPr>
        <w:spacing w:after="120"/>
      </w:pPr>
      <w:r>
        <w:t xml:space="preserve">"Conversion Amount" means the Principal Amount outstanding at the relevant time together with all interest accrued on it and not paid.</w:t>
      </w:r>
    </w:p>
    <w:p>
      <w:pPr>
        <w:spacing w:after="120"/>
      </w:pPr>
      <w:r>
        <w:t xml:space="preserve">"Conversion Shares" means the shares issued to the Investor on conversion of the Note.</w:t>
      </w:r>
    </w:p>
    <w:p>
      <w:pPr>
        <w:spacing w:after="120"/>
      </w:pPr>
      <w:r>
        <w:t xml:space="preserve">"Qualified Financing" means the first issue of new shares by the Company for cash after the date of this agreement, in one transaction or a series of related transactions, in which the total subscription price received in cash (not counting the conversion of the Note or of any other loan or convertible instrument) is at least the Qualified Financing Amount.</w:t>
      </w:r>
    </w:p>
    <w:p>
      <w:pPr>
        <w:spacing w:after="120"/>
      </w:pPr>
      <w:r>
        <w:t xml:space="preserve">"Qualified Financing Shares" means the class of shares issued for cash to new investors in the Qualified Financing.</w:t>
      </w:r>
    </w:p>
    <w:p>
      <w:pPr>
        <w:spacing w:after="120"/>
      </w:pPr>
      <w:r>
        <w:t xml:space="preserve">"Financing Price" means the lowest price per share paid in cash for Qualified Financing Shares in the Qualified Financing.</w:t>
      </w:r>
    </w:p>
    <w:p>
      <w:pPr>
        <w:spacing w:after="120"/>
      </w:pPr>
      <w:r>
        <w:t xml:space="preserve">"Fully Diluted Share Capital" means the total number of shares of the Company in issue immediately before the relevant conversion, plus all shares that would be issued if every outstanding option, warrant and other right to acquire shares were exercised in full, plus all shares reserved for any employee share incentive plan (whether or not granted), but excluding shares to be issued on conversion of the Note or of any other convertible instrument converting at the same time.</w:t>
      </w:r>
    </w:p>
    <w:p>
      <w:pPr>
        <w:spacing w:after="120"/>
      </w:pPr>
      <w:r>
        <w:t xml:space="preserve">"Fallback Price" means the Fallback Valuation divided by the Fully Diluted Share Capital.</w:t>
      </w:r>
    </w:p>
    <w:p>
      <w:pPr>
        <w:spacing w:after="120"/>
      </w:pPr>
      <w:r>
        <w:t xml:space="preserve">"Exit Event" means a sale of shares in the Company as a result of which any person, alone or with persons acting together, holds more than 50 per cent of the share capital or voting rights in the Company; a sale of all or substantially all of the Company's business and assets; or a Listing.</w:t>
      </w:r>
    </w:p>
    <w:p>
      <w:pPr>
        <w:spacing w:after="120"/>
      </w:pPr>
      <w:r>
        <w:t xml:space="preserve">"Listing" means the admission of any of the Company's shares to trading on a regulated or recognised securities exchange.</w:t>
      </w:r>
    </w:p>
    <w:p>
      <w:pPr>
        <w:spacing w:after="120"/>
      </w:pPr>
      <w:r>
        <w:t xml:space="preserve">"Insolvency Event" means the Company stopping or suspending payment of its debts generally; the Company applying for, or a court opening, preventive composition, restructuring or bankruptcy proceedings in relation to it under the UAE federal law on financial restructuring and bankruptcy; the Company being dissolved or entering liquidation; or any similar event in any jurisdiction.</w:t>
      </w:r>
    </w:p>
    <w:p>
      <w:pPr>
        <w:spacing w:after="120"/>
      </w:pPr>
      <w:r>
        <w:t xml:space="preserve">"Ordinary Shares" means the shares in the capital of the Company or, if there is more than one class of shares, the class most recently issued for cash.</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the Investor is an individual, "it" and "its" include him or her, and "his" and "her", and a reference to the Investor's power and authority includes his or her legal capacity.</w:t>
      </w:r>
    </w:p>
    <w:p>
      <w:pPr>
        <w:pStyle w:val="Heading2"/>
      </w:pPr>
      <w:r>
        <w:t xml:space="preserve">The Note</w:t>
      </w:r>
    </w:p>
    <w:p>
      <w:pPr>
        <w:spacing w:after="120"/>
      </w:pPr>
      <w:r>
        <w:t xml:space="preserve">This agreement records an unsecured, non-negotiable convertible loan by the Investor to the Company in the Principal Amount (the "Note").</w:t>
      </w:r>
    </w:p>
    <w:p>
      <w:pPr>
        <w:spacing w:after="120"/>
      </w:pPr>
      <w:r>
        <w:t xml:space="preserve">The Investor shall pay the Principal Amount to the Company on the Funding Date in cleared funds, to the bank account the Company notifies to the Investor in writing at least 3 Business Days before the Funding Date.</w:t>
      </w:r>
    </w:p>
    <w:p>
      <w:pPr>
        <w:spacing w:after="120"/>
      </w:pPr>
      <w:r>
        <w:t xml:space="preserve">The Investor's obligation to pay the Principal Amount is conditional on the Company having delivered to the Investor, before the Funding Date, a resolution of its shareholders approving this agreement, the conversion of the Note and the related increase of its capital and amendment of its memorandum of association, and the written waiver by each existing shareholder of any pre-emption or similar right over the Conversion Shares.</w:t>
      </w:r>
    </w:p>
    <w:p>
      <w:pPr>
        <w:spacing w:after="120"/>
      </w:pPr>
      <w:r>
        <w:t xml:space="preserve">The Company shall use the Principal Amount only for the Use of Proceeds.</w:t>
      </w:r>
    </w:p>
    <w:p>
      <w:pPr>
        <w:spacing w:after="120"/>
      </w:pPr>
      <w:r>
        <w:t xml:space="preserve">The Note is an unsecured obligation of the Company. Until it is converted or repaid, it ranks at least equally with all other unsecured and unsubordinated obligations of the Company, except obligations preferred by law and subject to the Subordination clause where it is included.</w:t>
      </w:r>
    </w:p>
    <w:p>
      <w:pPr>
        <w:pStyle w:val="Heading2"/>
      </w:pPr>
      <w:r>
        <w:t xml:space="preserve">Interest</w:t>
      </w:r>
    </w:p>
    <w:p>
      <w:pPr>
        <w:spacing w:after="120"/>
      </w:pPr>
      <w:r>
        <w:t xml:space="preserve">Interest accrues on the outstanding Principal Amount at the Interest Rate from the Funding Date until the Note is converted or repaid. Interest accrues daily, is calculated on the basis of a 365-day year, and does not compound.</w:t>
      </w:r>
    </w:p>
    <w:p>
      <w:pPr>
        <w:spacing w:after="120"/>
      </w:pPr>
      <w:r>
        <w:t xml:space="preserve">Accrued interest is not payable in cash before the Note is repaid. On conversion, accrued interest forms part of the Conversion Amount and converts with the Principal Amount; on repayment, it is paid together with the Principal Amount.</w:t>
      </w:r>
    </w:p>
    <w:p>
      <w:pPr>
        <w:pStyle w:val="Heading2"/>
      </w:pPr>
      <w:r>
        <w:t xml:space="preserve">Conversion on a Qualified Financing</w:t>
      </w:r>
    </w:p>
    <w:p>
      <w:pPr>
        <w:spacing w:after="120"/>
      </w:pPr>
      <w:r>
        <w:t xml:space="preserve">If a Qualified Financing completes before the Note is repaid, the Conversion Amount automatically converts, on completion of the Qualified Financing, into Qualified Financing Shares at the Conversion Price.</w:t>
      </w:r>
    </w:p>
    <w:p>
      <w:pPr>
        <w:spacing w:after="120"/>
      </w:pPr>
      <w:r>
        <w:t xml:space="preserve">The "Conversion Price" is the lower of the Financing Price reduced by the Discount, and the Valuation Cap divided by the Fully Diluted Share Capital.</w:t>
      </w:r>
    </w:p>
    <w:p>
      <w:pPr>
        <w:spacing w:after="120"/>
      </w:pPr>
      <w:r>
        <w:t xml:space="preserve">If the Conversion Price, or any other price per share at which the Note converts under this agreement, would be less than the nominal value of the share to be issued, or any higher minimum issue price the law requires, it is increased to that amount.</w:t>
      </w:r>
    </w:p>
    <w:p>
      <w:pPr>
        <w:spacing w:after="120"/>
      </w:pPr>
      <w:r>
        <w:t xml:space="preserve">On any conversion under this agreement, the number of Conversion Shares is the Conversion Amount divided by the price per share at which that conversion takes place under this agreement, rounded down to the nearest whole share. The Investor waives any fraction of a share.</w:t>
      </w:r>
    </w:p>
    <w:p>
      <w:pPr>
        <w:spacing w:after="120"/>
      </w:pPr>
      <w:r>
        <w:t xml:space="preserve">If the Financing Price is stated in a currency other than that of the Principal Amount, the Conversion Amount is converted into that currency at the spot rate quoted by the Company's principal bank on the Business Day before completion of the Qualified Financing.</w:t>
      </w:r>
    </w:p>
    <w:p>
      <w:pPr>
        <w:pStyle w:val="Heading2"/>
      </w:pPr>
      <w:r>
        <w:t xml:space="preserve">Exit Event</w:t>
      </w:r>
    </w:p>
    <w:p>
      <w:pPr>
        <w:spacing w:after="120"/>
      </w:pPr>
      <w:r>
        <w:t xml:space="preserve">If an Exit Event occurs before the Note is converted or repaid, the Investor may, by written notice given before completion of the Exit Event, elect either to be repaid the Conversion Amount on completion or to convert the Conversion Amount, immediately before completion, into Ordinary Shares at the Fallback Price. If the Investor makes no election, the Company shall repay the Conversion Amount on completion.</w:t>
      </w:r>
    </w:p>
    <w:p>
      <w:pPr>
        <w:pStyle w:val="Heading2"/>
      </w:pPr>
      <w:r>
        <w:t xml:space="preserve">Maturity</w:t>
      </w:r>
    </w:p>
    <w:p>
      <w:pPr>
        <w:spacing w:after="120"/>
      </w:pPr>
      <w:r>
        <w:t xml:space="preserve">If the Note has not been converted or repaid by the Maturity Date, the Investor may, by written notice given within 20 Business Days after the Maturity Date, elect either to be repaid the Conversion Amount or to convert it into Ordinary Shares at the Fallback Price. The Company shall complete the repayment or conversion within 10 Business Days after receiving the election. If the Investor makes no election in time, the Company shall repay the Conversion Amount within 10 Business Days after the end of the election period.</w:t>
      </w:r>
    </w:p>
    <w:p>
      <w:pPr>
        <w:pStyle w:val="Heading2"/>
      </w:pPr>
      <w:r>
        <w:t xml:space="preserve">Prepayment</w:t>
      </w:r>
    </w:p>
    <w:p>
      <w:pPr>
        <w:spacing w:after="120"/>
      </w:pPr>
      <w:r>
        <w:t xml:space="preserve">The Company may not repay or prepay the Note in whole or in part before the Maturity Date without the Investor's prior written consent, except as this agreement requires.</w:t>
      </w:r>
    </w:p>
    <w:p>
      <w:pPr>
        <w:pStyle w:val="Heading2"/>
      </w:pPr>
      <w:r>
        <w:t xml:space="preserve">Conversion Procedure</w:t>
      </w:r>
    </w:p>
    <w:p>
      <w:pPr>
        <w:spacing w:after="120"/>
      </w:pPr>
      <w:r>
        <w:t xml:space="preserve">The Company shall give the Investor written notice of a proposed Qualified Financing or Exit Event, with its principal terms, at least 10 Business Days before its expected completion.</w:t>
      </w:r>
    </w:p>
    <w:p>
      <w:pPr>
        <w:spacing w:after="120"/>
      </w:pPr>
      <w:r>
        <w:t xml:space="preserve">On conversion, the Conversion Amount is applied in paying up the Conversion Shares in full, and the Note is discharged to the extent of the amount converted.</w:t>
      </w:r>
    </w:p>
    <w:p>
      <w:pPr>
        <w:spacing w:after="120"/>
      </w:pPr>
      <w:r>
        <w:t xml:space="preserve">On a conversion in a Qualified Financing, the Investor shall sign the shareholders' agreement and other investment documents signed by the new investors in that financing, on substantially the same terms, but is not required to give any warranty or undertaking other than as to its own title, capacity, authority and investor status.</w:t>
      </w:r>
    </w:p>
    <w:p>
      <w:pPr>
        <w:spacing w:after="120"/>
      </w:pPr>
      <w:r>
        <w:t xml:space="preserve">The Company shall pass the shareholder resolutions, sign the amendment to its memorandum of association, complete the notarisation and registration with the competent licensing authority, and obtain any other approval needed to issue the Conversion Shares and record the Investor as a shareholder, as soon as practicable and in any event within 30 Business Days after conversion.</w:t>
      </w:r>
    </w:p>
    <w:p>
      <w:pPr>
        <w:spacing w:after="120"/>
      </w:pPr>
      <w:r>
        <w:t xml:space="preserve">The Conversion Shares rank equally in all respects with the other shares of the same class then in issue.</w:t>
      </w:r>
    </w:p>
    <w:p>
      <w:pPr>
        <w:spacing w:after="120"/>
      </w:pPr>
      <w:r>
        <w:t xml:space="preserve">Where a step needed to issue the Conversion Shares requires the attendance or signature of the Company's shareholders before a notary public or the competent licensing authority, the Company shall use all reasonable endeavours to procure it, and the Investor shall attend and sign as needed to become a shareholder.</w:t>
      </w:r>
    </w:p>
    <w:p>
      <w:pPr>
        <w:pStyle w:val="Heading2"/>
      </w:pPr>
      <w:r>
        <w:t xml:space="preserve">Company Undertakings</w:t>
      </w:r>
    </w:p>
    <w:p>
      <w:pPr>
        <w:spacing w:after="120"/>
      </w:pPr>
      <w:r>
        <w:t xml:space="preserve">While the Note is outstanding, the Company shall not take any step that would prevent the issue of the Conversion Shares, and shall use all reasonable endeavours to procure that its shareholders pass the resolutions and sign the documents needed for that issue.</w:t>
      </w:r>
    </w:p>
    <w:p>
      <w:pPr>
        <w:spacing w:after="120"/>
      </w:pPr>
      <w:r>
        <w:t xml:space="preserve">While the Note is outstanding, the Company shall deliver to the Investor a copy of its annual accounts promptly after they are approved, and shall notify the Investor promptly after becoming aware of any Event of Default.</w:t>
      </w:r>
    </w:p>
    <w:p>
      <w:pPr>
        <w:spacing w:after="120"/>
      </w:pPr>
      <w:r>
        <w:t xml:space="preserve">While the Note is outstanding, the Company shall not, without the Investor's prior written consent, create any security over its assets other than in the ordinary course of business; incur any borrowing that ranks ahead of the Note, other than any Senior Debt; pay any dividend or make any other distribution to its shareholders; or redeem or buy back any of its shares, other than from a departing founder or employee at no more than the price they paid.</w:t>
      </w:r>
    </w:p>
    <w:p>
      <w:pPr>
        <w:pStyle w:val="Heading2"/>
      </w:pPr>
      <w:r>
        <w:t xml:space="preserve">Warranties</w:t>
      </w:r>
    </w:p>
    <w:p>
      <w:pPr>
        <w:spacing w:after="120"/>
      </w:pPr>
      <w:r>
        <w:t xml:space="preserve">The Company warrants to the Investor, on the date of this agreement and on the Funding Date, that it is duly incorporated and validly existing under the laws of its place of incorporation; that it has the power to enter into and perform this agreement and to issue the Conversion Shares, and has taken all corporate action needed to do so; and that entering into and performing this agreement does not breach its constitutional documents, any law binding on it or any agreement to which it is a party.</w:t>
      </w:r>
    </w:p>
    <w:p>
      <w:pPr>
        <w:spacing w:after="120"/>
      </w:pPr>
      <w:r>
        <w:t xml:space="preserve">The Company warrants to the Investor that the information it has given the Investor in writing about its issued share capital, options and other rights to acquire its shares is complete and accurate at the date of this agreement.</w:t>
      </w:r>
    </w:p>
    <w:p>
      <w:pPr>
        <w:spacing w:after="120"/>
      </w:pPr>
      <w:r>
        <w:t xml:space="preserve">The Investor warrants to the Company that it has full power and authority to enter into and perform this agreement and that it is acquiring the Note for its own account, has the knowledge and experience to evaluate the risks of the investment, and may lawfully hold the Conversion Shares.</w:t>
      </w:r>
    </w:p>
    <w:p>
      <w:pPr>
        <w:spacing w:after="120"/>
      </w:pPr>
      <w:r>
        <w:t xml:space="preserve">The Investor acknowledges that an investment in the Note is speculative, that it may lose the whole of the Principal Amount, and that it has made its own assessment of the Company and the investment.</w:t>
      </w:r>
    </w:p>
    <w:p>
      <w:pPr>
        <w:pStyle w:val="Heading2"/>
      </w:pPr>
      <w:r>
        <w:t xml:space="preserve">Events of Default</w:t>
      </w:r>
    </w:p>
    <w:p>
      <w:pPr>
        <w:spacing w:after="120"/>
      </w:pPr>
      <w:r>
        <w:t xml:space="preserve">Each of the following is an "Event of Default": the Company fails to pay any amount due under this agreement within 5 Business Days after its due date; the Company materially breaches any other obligation under this agreement and, if the breach can be remedied, does not remedy it within 20 Business Days after written notice from the Investor; any warranty given by the Company is materially untrue when given; an Insolvency Event occurs; or the Company ceases, or threatens to cease, to carry on all or substantially all of its business.</w:t>
      </w:r>
    </w:p>
    <w:p>
      <w:pPr>
        <w:spacing w:after="120"/>
      </w:pPr>
      <w:r>
        <w:t xml:space="preserve">At any time after an Event of Default occurs and while it is continuing, the Investor may by written notice to the Company declare the Conversion Amount immediately due and payable, and the Company shall pay it immediately.</w:t>
      </w:r>
    </w:p>
    <w:p>
      <w:pPr>
        <w:spacing w:after="120"/>
      </w:pPr>
      <w:r>
        <w:t xml:space="preserve">If the Company fails to pay any amount under this agreement when due, interest accrues on the overdue amount at the Default Rate from the due date until the date of actual payment, both before and after any judgment, in addition to any interest accruing under the Interest clause.</w:t>
      </w:r>
    </w:p>
    <w:p>
      <w:pPr>
        <w:pStyle w:val="Heading2"/>
      </w:pPr>
      <w:r>
        <w:t xml:space="preserve">Subordination</w:t>
      </w:r>
    </w:p>
    <w:p>
      <w:pPr>
        <w:spacing w:after="120"/>
      </w:pPr>
      <w:r>
        <w:t xml:space="preserve">The Investor's right to payment under this agreement is subordinated to the Senior Debt. The Company shall not pay any amount under this agreement, other than by conversion, while any Senior Debt is due and unpaid or an event of default under the Senior Debt is continuing.</w:t>
      </w:r>
    </w:p>
    <w:p>
      <w:pPr>
        <w:spacing w:after="120"/>
      </w:pPr>
      <w:r>
        <w:t xml:space="preserve">The Investor shall, at the Company's request, enter into a subordination or intercreditor agreement with the holders of the Senior Debt on customary terms, provided that it does not affect the Investor's conversion rights under this agreement.</w:t>
      </w:r>
    </w:p>
    <w:p>
      <w:pPr>
        <w:pStyle w:val="Heading2"/>
      </w:pPr>
      <w:r>
        <w:t xml:space="preserve">Transfers</w:t>
      </w:r>
    </w:p>
    <w:p>
      <w:pPr>
        <w:spacing w:after="120"/>
      </w:pPr>
      <w:r>
        <w:t xml:space="preserve">The Investor may not transfer the Note, or any interest in it, without the Company's prior written consent, which shall not be unreasonably withheld or delayed, except to an affiliate of the Investor that first agrees in writing to be bound by this agreement.</w:t>
      </w:r>
    </w:p>
    <w:p>
      <w:pPr>
        <w:spacing w:after="120"/>
      </w:pPr>
      <w:r>
        <w:t xml:space="preserve">The Company may not assign or transfer any of its rights or obligations under this agreement.</w:t>
      </w:r>
    </w:p>
    <w:p>
      <w:pPr>
        <w:spacing w:after="120"/>
      </w:pPr>
      <w:r>
        <w:t xml:space="preserve">A transfer of the Note binds the Company only from the date on which the Company receives written notice of it signed by the transferor and the transferee.</w:t>
      </w:r>
    </w:p>
    <w:p>
      <w:pPr>
        <w:pStyle w:val="Heading2"/>
      </w:pPr>
      <w:r>
        <w:t xml:space="preserve">Payments and Tax</w:t>
      </w:r>
    </w:p>
    <w:p>
      <w:pPr>
        <w:spacing w:after="120"/>
      </w:pPr>
      <w:r>
        <w:t xml:space="preserve">All payments under this agreement shall be made in the currency of the Principal Amount, in cleared funds, to the account the recipient notifies in writing.</w:t>
      </w:r>
    </w:p>
    <w:p>
      <w:pPr>
        <w:spacing w:after="120"/>
      </w:pPr>
      <w:r>
        <w:t xml:space="preserve">The Company shall make all payments under this agreement without set-off or counterclaim.</w:t>
      </w:r>
    </w:p>
    <w:p>
      <w:pPr>
        <w:spacing w:after="120"/>
      </w:pPr>
      <w:r>
        <w:t xml:space="preserve">The Company shall make all payments without deduction for tax unless the law requires a deduction. If it does, the Company shall make the deduction, pay the amount deducted to the relevant tax authority when due, and give the Investor evidence of payment, and the net payment discharges the Company's obligation.</w:t>
      </w:r>
    </w:p>
    <w:p>
      <w:pPr>
        <w:pStyle w:val="Heading2"/>
      </w:pPr>
      <w:r>
        <w:t xml:space="preserve">Notices</w:t>
      </w:r>
    </w:p>
    <w:p>
      <w:pPr>
        <w:spacing w:after="120"/>
      </w:pPr>
      <w:r>
        <w:t xml:space="preserve">A notice under this agreement must be in writing and delivered by hand, by courier or by email, to the Company at [Company notice address and email] and to the Investor at [Investor notice address and email], or to any other address a party notifies to the other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This agreement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both parties.</w:t>
      </w:r>
    </w:p>
    <w:p>
      <w:pPr>
        <w:spacing w:after="120"/>
      </w:pPr>
      <w:r>
        <w:t xml:space="preserve">A failure or delay in exercising a right is not a waiver of it, and a waiver is effective only if given in writing.</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Nothing in this agreement makes the Investor a shareholder of the Company before conversion, or creates a partnership or agency between the parties.</w:t>
      </w:r>
    </w:p>
    <w:p>
      <w:pPr>
        <w:spacing w:after="120"/>
      </w:pPr>
      <w:r>
        <w:t xml:space="preserve">Each party bears its own costs of negotiating and entering into this agreement.</w:t>
      </w:r>
    </w:p>
    <w:p>
      <w:pPr>
        <w:spacing w:after="120"/>
      </w:pPr>
      <w:r>
        <w:t xml:space="preserve">Each party shall sign all documents and do all things reasonably required to give full effect to this agreement.</w:t>
      </w:r>
    </w:p>
    <w:p>
      <w:pPr>
        <w:spacing w:after="120"/>
      </w:pPr>
      <w:r>
        <w:t xml:space="preserve">Nothing in this agreement gives any person other than the parties any right to enforce it.</w:t>
      </w:r>
    </w:p>
    <w:p>
      <w:pPr>
        <w:spacing w:after="120"/>
      </w:pPr>
      <w:r>
        <w:t xml:space="preserve">This agreement may be signed in counterparts and by electronic signature, each of which is an original and all of which together form one agreement.</w:t>
      </w:r>
    </w:p>
    <w:p>
      <w:pPr>
        <w:spacing w:after="120"/>
      </w:pPr>
      <w:r>
        <w:t xml:space="preserve">This agreement is made in English. If it is translated into Arabic, the English text prevails between the parties to the extent the law permits.</w:t>
      </w:r>
    </w:p>
    <w:p>
      <w:pPr>
        <w:pStyle w:val="Heading2"/>
      </w:pPr>
      <w:r>
        <w:t xml:space="preserve">Governing Law and Disputes</w:t>
      </w:r>
    </w:p>
    <w:p>
      <w:pPr>
        <w:spacing w:after="120"/>
      </w:pPr>
      <w:r>
        <w:t xml:space="preserve">This agreement is governed by the federal laws of the United Arab Emirates and, to the extent applicable, the laws of the Emirate.</w:t>
      </w:r>
    </w:p>
    <w:p>
      <w:pPr>
        <w:spacing w:after="120"/>
      </w:pPr>
      <w:r>
        <w:t xml:space="preserve">The courts of the Emirate (which, for clarity, do not include the courts of the Dubai International Financial Centre or the Abu Dhabi Global Market) have exclusive jurisdiction over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Convertible Loan Agreement</dc:title>
  <dc:creator>Mike's Templates</dc:creator>
  <cp:lastModifiedBy>Un-named</cp:lastModifiedBy>
  <cp:revision>1</cp:revision>
  <dcterms:created xsi:type="dcterms:W3CDTF">2026-11-03T03:24:07.232Z</dcterms:created>
  <dcterms:modified xsi:type="dcterms:W3CDTF">2026-11-03T03:24:07.232Z</dcterms:modified>
</cp:coreProperties>
</file>

<file path=docProps/custom.xml><?xml version="1.0" encoding="utf-8"?>
<Properties xmlns="http://schemas.openxmlformats.org/officeDocument/2006/custom-properties" xmlns:vt="http://schemas.openxmlformats.org/officeDocument/2006/docPropsVTypes"/>
</file>