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Dubai.</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charge (whether fixed or floating), pledge, lien, assignment by way of security or other security interest securing any obligation of any person, or any other agreement or arrangement having a similar effect.</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constitutional documents, or to its being duly incorporated or established, applies only to a party that is a body corporate or other entity, and a reference to a party's insolvency includes, for an individual, bankruptcy, an individual voluntary arrangement or other composition with creditors,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authorise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cancelled.</w:t>
      </w:r>
    </w:p>
    <w:p>
      <w:pPr>
        <w:pStyle w:val="Heading2"/>
      </w:pPr>
      <w:r>
        <w:t xml:space="preserve">Interest</w:t>
      </w:r>
    </w:p>
    <w:p>
      <w:pPr>
        <w:spacing w:after="120"/>
      </w:pPr>
      <w:r>
        <w:t xml:space="preserve">The Loan bears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instalments in inverse order of maturity.</w:t>
      </w:r>
    </w:p>
    <w:p>
      <w:pPr>
        <w:pStyle w:val="Heading2"/>
      </w:pPr>
      <w:r>
        <w:t xml:space="preserve">Default Interest</w:t>
      </w:r>
    </w:p>
    <w:p>
      <w:pPr>
        <w:spacing w:after="120"/>
      </w:pPr>
      <w:r>
        <w:t xml:space="preserve">If the Borrower does not pay any amount payable under this agreement on its due date, interest accrues on the overdue amount from the due date until the date of actual payment, both before and after any judgment, at a rate equal to the Interest Rate (if any) plus the Default Margin. Default interest is calculated on the actual number of days elapsed and a year of 365 days, does not compound, and is payable on demand.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spacing w:after="120"/>
      </w:pPr>
      <w:r>
        <w:t xml:space="preserve">If an amount due under a Finance Document is converted into another currency to prove it in a claim or to enforce a judgment, the Borrower must make good any shortfall between the amount converted and the amount in the currency of the Loan that the Lender is able to buy with the proceeds when it receives them.</w:t>
      </w:r>
    </w:p>
    <w:p>
      <w:pPr>
        <w:pStyle w:val="Heading2"/>
      </w:pPr>
      <w:r>
        <w:t xml:space="preserve">Taxes</w:t>
      </w:r>
    </w:p>
    <w:p>
      <w:pPr>
        <w:spacing w:after="120"/>
      </w:pPr>
      <w:r>
        <w:t xml:space="preserve">The Borrower must pay every amount under this agreement in full. If the law of the DIFC, the United Arab Emirates or any other place requires it to deduct or withhold tax from a payment, it must pay the tax to the authority entitled to it on time, send the Lender the receipt, and pay the Lender an additional amount so that the Lender receives what it would have received without the deduction. No additional amount is payable to the extent the deduction arises because the Lender is not resident where it said it was, or fails to give a form or certificate the Borrower reasonably asks for to reduce or remove the deduction.</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spacing w:after="120"/>
      </w:pPr>
      <w:r>
        <w:t xml:space="preserve">Where the Secured Assets are of a kind over which security may be registered with the DIFC Registrar of Security under the DIFC Law of Security, the Lender may make the registration, and the Borrower must give any consent and sign any document needed for it within five Business Days after the Lender asks. The Borrower must not allow any other person to register security over the Secured Assets, and must tell the Lender at once if it receives notice of a registration by someone else.</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authorise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authorise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authorisation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confirms that it enters into this agreement for the purposes of its business and not as a consumer or for personal, family or household purposes.</w:t>
      </w:r>
    </w:p>
    <w:p>
      <w:pPr>
        <w:spacing w:after="120"/>
      </w:pPr>
      <w:r>
        <w:t xml:space="preserve">The Lender confirms that it holds every licence, authorisation or registration that applicable law requires for it to make the Loan (including any licence from the Dubai Financial Services Authority), or that none is required because it does not carry on the business of lending or because an exemption applies.</w:t>
      </w:r>
    </w:p>
    <w:p>
      <w:pPr>
        <w:spacing w:after="120"/>
      </w:pPr>
      <w:r>
        <w:t xml:space="preserve">The Borrower confirms that the money it uses to repay the Loan will not come from criminal conduct, and that neither it, nor any Guarantor, nor any of their owners or directors is the subject of sanctions imposed by the United Nations, the United Arab Emirates or any other authority whose sanctions apply to the Lender. The Borrower must give the Lender, within five Business Days after a request, the information and documents it needs to meet its anti-money-laundering and sanctions duties in the DIFC and elsewhere, and the Lender may delay or refuse an advance or a payment until it has them.</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unable, or admits inability, to pay its debts as they fall due, is deemed to be or is declared unable to pay its debts under applicable law, suspends making payments on any of its debts, or, because of actual or anticipated financial difficulties, begins negotiations with one or more of its creditors (other than the Lender) with a view to rescheduling any of its indebtedness.</w:t>
      </w:r>
    </w:p>
    <w:p>
      <w:pPr>
        <w:spacing w:after="120"/>
      </w:pPr>
      <w:r>
        <w:t xml:space="preserve">Any corporate action, legal proceeding or other formal step is taken, in the DIFC or elsewhere, in relation to the winding-up, dissolution, administration, rehabilitation, bankruptcy or reorganisation (by way of voluntary arrangement, scheme of arrangement or otherwise) of the Borrower, or the appointment of a liquidator, provisional liquidator, administrator, receiver, trustee or similar officer over the Borrower or any of its assets. This does not apply to a petition or application that is frivolous or vexatious and is discharged, stayed or dismissed within 21 days of being presented.</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 or the Borrower proposes or enters into an individual voluntary arrangement or any other composition or arrangement with his or her creditors generally, or any procedure for the settlement, rescheduling or relief of the Borrower's debts as an individual is started in any jurisdiction.</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assign or transfer any of its rights and obligations under this agreement with the Borrower's prior written consent, which may not be unreasonably withheld or delayed. No consent is needed for an assignment or transfer to an affiliate of the Lender or at any time while an Event of Default is continuing. The Lender must notify the Borrower of any assignment or transfer.</w:t>
      </w:r>
    </w:p>
    <w:p>
      <w:pPr>
        <w:pStyle w:val="Heading2"/>
      </w:pPr>
      <w:r>
        <w:t xml:space="preserve">Notices</w:t>
      </w:r>
    </w:p>
    <w:p>
      <w:pPr>
        <w:spacing w:after="120"/>
      </w:pPr>
      <w:r>
        <w:t xml:space="preserve">Any notice or other communication under this agreement must be in writing and delivered by hand, sent by pre-paid registered post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treated as received: if delivered by hand, when it is left at the relevant address; if sent by pre-paid registered post or courier, on the second Business Day after posting or dispatch (or the fifth Business Day if sent to another country); and if sent by email, when sent, unless the sender receives a message that it was not delivered. A notice received after 5.00 pm, or on a day that is not a Business Day, in the place of receipt is treated as received at 9.00 am on the next Business Day there.</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A person who is not a party to this agreement has no right to enforce any of its terms, whether under the law of the Dubai International Financial Centre or otherwise.</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Governing Law and Jurisdiction</w:t>
      </w:r>
    </w:p>
    <w:p>
      <w:pPr>
        <w:spacing w:after="120"/>
      </w:pPr>
      <w:r>
        <w:t xml:space="preserve">The laws of the Dubai International Financial Centre govern this agreement and any non-contractual obligation arising out of or in connection with it.</w:t>
      </w:r>
    </w:p>
    <w:p>
      <w:pPr>
        <w:spacing w:after="120"/>
      </w:pPr>
      <w:r>
        <w:t xml:space="preserve">The Courts of the Dubai International Financial Centre have exclusive jurisdiction over any dispute arising out of or in connection with this agreement, including a dispute about its existence, validity or termination or about any non-contractual obligation arising out of or in connection with it.</w:t>
      </w:r>
    </w:p>
    <w:p>
      <w:pPr>
        <w:spacing w:after="120"/>
      </w:pPr>
      <w:r>
        <w:t xml:space="preserve">Before starting proceedings about a dispute under a Finance Document, other than to recover an overdue amount or to seek urgent interim relief, a party must give the other written notice of the dispute. Senior officers of both parties must meet within ten Business Days to try to settle it. If they have not settled it twenty Business Days after the notice, either party may start proceedings in the DIFC Courts.</w:t>
      </w:r>
    </w:p>
    <w:p>
      <w:pPr>
        <w:spacing w:after="120"/>
      </w:pPr>
      <w:r>
        <w:t xml:space="preserve">The Borrower agrees that a judgment or order of the DIFC Courts under a Finance Document may be enforced against it and its assets in any court or authority with power to do so, including the onshore courts of the Emirate of Dubai, and it will not resist enforcement on the ground that the judgment was given by a court in a financial free zone.</w:t>
      </w:r>
    </w:p>
    <w:p>
      <w:pPr>
        <w:spacing w:after="120"/>
      </w:pPr>
      <w:r>
        <w:t xml:space="preserve">If the Borrower, or any of its assets, is or becomes entitled to immunity from suit, from a court order or from execution in any place, the Borrower waives that immunity to the extent the law allows, for the purposes of any proceedings arising from the Finance Documents.</w:t>
      </w:r>
    </w:p>
    <w:p>
      <w:pPr>
        <w:pStyle w:val="Heading2"/>
      </w:pPr>
      <w:r>
        <w:t xml:space="preserve">Repayment Schedule</w:t>
      </w:r>
    </w:p>
    <w:p>
      <w:pPr>
        <w:spacing w:after="120"/>
      </w:pPr>
      <w:r>
        <w:t xml:space="preserve">The Borrower must repay the Loan in the following instalments, each on the date shown: [Repayment instalments (amount and due date of each)]. If less than the full amount of the Loan is advanced, each instalment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(DIFC)</dc:title>
  <dc:creator>Mike's Templates</dc:creator>
  <cp:lastModifiedBy>Un-named</cp:lastModifiedBy>
  <cp:revision>1</cp:revision>
  <dcterms:created xsi:type="dcterms:W3CDTF">2026-11-03T03:24:07.410Z</dcterms:created>
  <dcterms:modified xsi:type="dcterms:W3CDTF">2026-11-03T03:24:07.410Z</dcterms:modified>
</cp:coreProperties>
</file>

<file path=docProps/custom.xml><?xml version="1.0" encoding="utf-8"?>
<Properties xmlns="http://schemas.openxmlformats.org/officeDocument/2006/custom-properties" xmlns:vt="http://schemas.openxmlformats.org/officeDocument/2006/docPropsVTypes"/>
</file>