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the United Arab Emirates.</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spacing w:after="120"/>
      </w:pPr>
      <w:r>
        <w:t xml:space="preserve">"Emirate" means the Emirate of [Emirate whose courts have jurisdiction].</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pledge, lien, charge, assignment by way of security, possessory or registered security right over movable or immovable property, or other arrangement having the effect of security.</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constitutional documents, or to its being duly incorporated or established, applies only to a party that is a body corporate or other entity, and a reference to a party's insolvency includes, for an individual, bankruptcy, insolvency, a settlement or rescheduling of debts with creditors, a liquidation of assets,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authorise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cancelled.</w:t>
      </w:r>
    </w:p>
    <w:p>
      <w:pPr>
        <w:pStyle w:val="Heading2"/>
      </w:pPr>
      <w:r>
        <w:t xml:space="preserve">Interest</w:t>
      </w:r>
    </w:p>
    <w:p>
      <w:pPr>
        <w:spacing w:after="120"/>
      </w:pPr>
      <w:r>
        <w:t xml:space="preserve">The Loan bears simple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 Interest is not capitalised or compounded.</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instalments in inverse order of maturity.</w:t>
      </w:r>
    </w:p>
    <w:p>
      <w:pPr>
        <w:pStyle w:val="Heading2"/>
      </w:pPr>
      <w:r>
        <w:t xml:space="preserve">Default Interest</w:t>
      </w:r>
    </w:p>
    <w:p>
      <w:pPr>
        <w:spacing w:after="120"/>
      </w:pPr>
      <w:r>
        <w:t xml:space="preserve">If the Borrower does not pay any principal of the Loan on its due date, simple interest accrues on that overdue principal from the due date until the date of actual payment at a rate equal to the Interest Rate (if any) plus the Default Margin, calculated on the actual number of days elapsed and a year of 365 days. No interest accrues on overdue interest. That interest is not compounded and is payable on demand.</w:t>
      </w:r>
    </w:p>
    <w:p>
      <w:pPr>
        <w:spacing w:after="120"/>
      </w:pPr>
      <w:r>
        <w:t xml:space="preserve">The parties agree that any default interest payable under this agreement is compensation for the Lender's loss from late payment. If a court or tribunal reduces or increases the interest or any other agreed compensation under the law applying to this agreement, the amount it fixes replaces the agreed amount and the rest of this agreement is unaffected.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pStyle w:val="Heading2"/>
      </w:pPr>
      <w:r>
        <w:t xml:space="preserve">Taxes</w:t>
      </w:r>
    </w:p>
    <w:p>
      <w:pPr>
        <w:spacing w:after="120"/>
      </w:pPr>
      <w:r>
        <w:t xml:space="preserve">The Borrower must make every payment under this agreement without any deduction or withholding for or on account of tax, unless a deduction or withholding is required by law. If one is required, the Borrower must make it, pay the amount deducted or withheld to the relevant tax authority within the time allowed by law, give the Lender evidence of payment, and increase the payment so that the Lender receives the amount it would have received had no deduction or withholding been required. The Borrower need not increase a payment to the extent that the deduction or withholding results from an assignment or transfer by the Lender, or from the Lender's failure to provide information or forms that the Borrower reasonably requested in order to reduce or eliminate it.</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spacing w:after="120"/>
      </w:pPr>
      <w:r>
        <w:t xml:space="preserve">Where the Secured Assets are movables and the security is a right over them to which Federal Law No. 4 of 2020 on Securing the Rights in Movables applies, the Lender may register it under that law, and the Borrower must give any consent and sign any document needed within five Business Days after the Lender asks. Where the Secured Assets are real property, the Borrower must sign the mortgage before the land registry authority of the Emirate of [Emirate whose courts have jurisdiction] and pay the registration fees.</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 The Guarantor must be liable as a primary obligor, jointly with the Borrower, for the whole amount guaranteed, and must waive, to the extent the law allows, any right to require the Lender to claim from the Borrower or to enforce any security first. The Lender must take any step against the Borrower and the Guarantor that the law requires, within the period it requires, to preserve the Guarantee.</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authorise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authorise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authorisation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confirms that it enters into this agreement in the course of, and for the purposes of, its commercial business, and that the Loan is not made to it as a consumer or for personal or household purposes.</w:t>
      </w:r>
    </w:p>
    <w:p>
      <w:pPr>
        <w:spacing w:after="120"/>
      </w:pPr>
      <w:r>
        <w:t xml:space="preserve">The Lender confirms that it holds every licence, authorisation or registration that applicable law requires for it to make the Loan (including any licence from the Central Bank of the United Arab Emirates), or that none is required because it does not carry on the business of lending or because an exemption applies.</w:t>
      </w:r>
    </w:p>
    <w:p>
      <w:pPr>
        <w:spacing w:after="120"/>
      </w:pPr>
      <w:r>
        <w:t xml:space="preserve">The Borrower must give the Lender, on request and within five Business Days, the identity documents, ownership details and information about the source of funds that the Lender needs for its anti-money-laundering and sanctions checks. The Lender may delay or refuse an advance or a payment until it has them, and may disclose information about the Borrower to a competent authority in the United Arab Emirates where the law requires or allows it.</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unable, or admits inability, to pay its debts as they fall due, is deemed to be or is declared unable to pay its debts under applicable law, suspends making payments on any of its debts, or, because of actual or anticipated financial difficulties, begins negotiations with one or more of its creditors (other than the Lender) with a view to rescheduling any of its indebtedness.</w:t>
      </w:r>
    </w:p>
    <w:p>
      <w:pPr>
        <w:spacing w:after="120"/>
      </w:pPr>
      <w:r>
        <w:t xml:space="preserve">Any legal proceeding or other formal step is taken in relation to the Borrower under the law of the United Arab Emirates on financial restructuring and bankruptcy or any similar law, including an application for preventive composition, restructuring, bankruptcy or liquidation, or the appointment of a trustee, liquidator, receiver or similar officer over the Borrower or any of its assets. This does not apply to an application by a creditor that is frivolous or vexatious and is dismissed within 30 days of being made.</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 or any proceeding or other formal step is taken in relation to the Borrower under any law on the insolvency of individuals, including an application for the settlement or rescheduling of the Borrower's debts or for the liquidation of the Borrower's assets.</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assign or transfer any of its rights and obligations under this agreement with the Borrower's prior written consent, which may not be unreasonably withheld or delayed. No consent is needed for an assignment or transfer to an affiliate of the Lender or at any time while an Event of Default is continuing. The Lender must notify the Borrower of any assignment or transfer.</w:t>
      </w:r>
    </w:p>
    <w:p>
      <w:pPr>
        <w:pStyle w:val="Heading2"/>
      </w:pPr>
      <w:r>
        <w:t xml:space="preserve">Notices</w:t>
      </w:r>
    </w:p>
    <w:p>
      <w:pPr>
        <w:spacing w:after="120"/>
      </w:pPr>
      <w:r>
        <w:t xml:space="preserve">Any notice or other communication under this agreement must be in writing and delivered by hand, sent by registered post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treated as received: if delivered by hand, when it is left at the relevant address; if sent by registered post or courier, on the second Business Day after posting or dispatch (or the fifth Business Day if sent to another country); and if sent by email, when sent, unless the sender receives a message that it was not delivered. A notice received after 5.00 pm, or on a day that is not a Business Day, in the place of receipt is treated as received at 9.00 am on the next Business Day there.</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Nothing in this agreement confers any right on a person who is not a party to it.</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Language</w:t>
      </w:r>
    </w:p>
    <w:p>
      <w:pPr>
        <w:spacing w:after="120"/>
      </w:pPr>
      <w:r>
        <w:t xml:space="preserve">This agreement is made in English. If a court, authority or notary in the United Arab Emirates requires an Arabic version, the party that needs it must obtain a certified translation at its own cost and give the other party a copy. The English text prevails between the parties to the extent the law allows, and the translation is used only for the purpose for which it was made.</w:t>
      </w:r>
    </w:p>
    <w:p>
      <w:pPr>
        <w:pStyle w:val="Heading2"/>
      </w:pPr>
      <w:r>
        <w:t xml:space="preserve">Governing Law and Jurisdiction</w:t>
      </w:r>
    </w:p>
    <w:p>
      <w:pPr>
        <w:spacing w:after="120"/>
      </w:pPr>
      <w:r>
        <w:t xml:space="preserve">This agreement is governed by the federal laws of the United Arab Emirates and, to the extent they apply, the laws of the Emirate.</w:t>
      </w:r>
    </w:p>
    <w:p>
      <w:pPr>
        <w:spacing w:after="120"/>
      </w:pPr>
      <w:r>
        <w:t xml:space="preserve">The competent onshore courts of the Emirate (and not the courts of the Dubai International Financial Centre or the Abu Dhabi Global Market) have exclusive jurisdiction over any dispute arising out of or in connection with this agreement, including a dispute about its existence, validity or termination or about any non-contractual obligation arising out of or in connection with it.</w:t>
      </w:r>
    </w:p>
    <w:p>
      <w:pPr>
        <w:spacing w:after="120"/>
      </w:pPr>
      <w:r>
        <w:t xml:space="preserve">Nothing in this agreement stops the Lender from applying at any time to the competent court for a precautionary attachment, an urgent order or another conservatory measure over the Borrower's assets, or over any Guarantor's assets, to protect its right to be repaid, as the law of the United Arab Emirates allows.</w:t>
      </w:r>
    </w:p>
    <w:p>
      <w:pPr>
        <w:spacing w:after="120"/>
      </w:pPr>
      <w:r>
        <w:t xml:space="preserve">The Lender may require that this agreement, each Security Document and each Guarantee be notarised before a notary public in the United Arab Emirates, at the Borrower's cost, and the Borrower and any Guarantor must attend or give a power of attorney for that purpose within ten Business Days after the Lender asks. The parties intend notarisation to give the documents the strongest standing as evidence and in enforcement that the law allows.</w:t>
      </w:r>
    </w:p>
    <w:p>
      <w:pPr>
        <w:spacing w:after="120"/>
      </w:pPr>
      <w:r>
        <w:t xml:space="preserve">Nothing in this agreement shortens a period within which a claim must be made under the law of the United Arab Emirates where that law does not allow the period to be shortened by agreement. Each part payment of the Loan is made without prejudice to the Lender's right to the balance.</w:t>
      </w:r>
    </w:p>
    <w:p>
      <w:pPr>
        <w:pStyle w:val="Heading2"/>
      </w:pPr>
      <w:r>
        <w:t xml:space="preserve">Repayment Schedule</w:t>
      </w:r>
    </w:p>
    <w:p>
      <w:pPr>
        <w:spacing w:after="120"/>
      </w:pPr>
      <w:r>
        <w:t xml:space="preserve">The Borrower must repay the Loan in the following instalments, each on the date shown: [Repayment instalments (amount and due date of each)]. If less than the full amount of the Loan is advanced, each instalment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(UAE)</dc:title>
  <dc:creator>Mike's Templates</dc:creator>
  <cp:lastModifiedBy>Un-named</cp:lastModifiedBy>
  <cp:revision>1</cp:revision>
  <dcterms:created xsi:type="dcterms:W3CDTF">2026-11-03T03:24:07.422Z</dcterms:created>
  <dcterms:modified xsi:type="dcterms:W3CDTF">2026-11-03T03:24:07.422Z</dcterms:modified>
</cp:coreProperties>
</file>

<file path=docProps/custom.xml><?xml version="1.0" encoding="utf-8"?>
<Properties xmlns="http://schemas.openxmlformats.org/officeDocument/2006/custom-properties" xmlns:vt="http://schemas.openxmlformats.org/officeDocument/2006/docPropsVTypes"/>
</file>