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London.</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spacing w:after="120"/>
      </w:pPr>
      <w:r>
        <w:t xml:space="preserve">"Process Agent" means [Process agent (name and address in England and Wales)].</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charge (whether fixed or floating), pledge, lien, assignment by way of security or other security interest securing any obligation of any person, or any other agreement or arrangement having a similar effect.</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constitutional documents, or to its being duly incorporated or established, applies only to a party that is a body corporate or other entity, and a reference to a party's insolvency includes, for an individual, bankruptcy, an individual voluntary arrangement, a debt relief order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authorise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cancelled.</w:t>
      </w:r>
    </w:p>
    <w:p>
      <w:pPr>
        <w:pStyle w:val="Heading2"/>
      </w:pPr>
      <w:r>
        <w:t xml:space="preserve">Interest</w:t>
      </w:r>
    </w:p>
    <w:p>
      <w:pPr>
        <w:spacing w:after="120"/>
      </w:pPr>
      <w:r>
        <w:t xml:space="preserve">The Loan bears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instalments in inverse order of maturity.</w:t>
      </w:r>
    </w:p>
    <w:p>
      <w:pPr>
        <w:pStyle w:val="Heading2"/>
      </w:pPr>
      <w:r>
        <w:t xml:space="preserve">Default Interest</w:t>
      </w:r>
    </w:p>
    <w:p>
      <w:pPr>
        <w:spacing w:after="120"/>
      </w:pPr>
      <w:r>
        <w:t xml:space="preserve">If the Borrower does not pay any amount payable under this agreement on its due date, interest accrues on the overdue amount from the due date until the date of actual payment, both before and after any judgment, at a rate equal to the Interest Rate (if any) plus the Default Margin. Default interest is calculated on the actual number of days elapsed and a year of 365 days, does not compound, and is payable on demand.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pStyle w:val="Heading2"/>
      </w:pPr>
      <w:r>
        <w:t xml:space="preserve">Taxes</w:t>
      </w:r>
    </w:p>
    <w:p>
      <w:pPr>
        <w:spacing w:after="120"/>
      </w:pPr>
      <w:r>
        <w:t xml:space="preserve">The Borrower must pay every amount under this agreement without deduction or withholding for tax unless the law requires it. If a deduction is required, the Borrower must make it, pay it to the tax authority on time, give the Lender a receipt and increase the payment so that the Lender receives the same amount as without the deduction. If the Lender is entitled to relief under a double tax treaty, it must tell the Borrower and cooperate in claiming it, and the Borrower need not increase a payment to the extent that the relief would have removed the deduction.</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spacing w:after="120"/>
      </w:pPr>
      <w:r>
        <w:t xml:space="preserve">If the Borrower is a company registered in the United Kingdom, particulars of each charge created by a Security Document must be delivered to the registrar of companies within 21 days beginning with the day after it is created, and the Borrower must see to this, although the Lender may do it instead. The Borrower understands that a charge not delivered in time is void against its liquidator, its administrator and its creditors, so far as it secures an interest in its property, but that the Loan then becomes payable immediately.</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w:t>
      </w:r>
    </w:p>
    <w:p>
      <w:pPr>
        <w:spacing w:after="120"/>
      </w:pPr>
      <w:r>
        <w:t xml:space="preserve">Any guarantee of the Borrower's obligations, and each Security Document, must be signed as a deed, in the way that section 1 of the Law of Property (Miscellaneous Provisions) Act 1989 requires for the person signing, so that the obligations in them do not depend on consideration. The Borrower must give the Lender evidence of authority and, where a company signs, a certified copy of its board resolution.</w:t>
      </w:r>
    </w:p>
    <w:p>
      <w:pPr>
        <w:spacing w:after="120"/>
      </w:pPr>
      <w:r>
        <w:t xml:space="preserve">If the Guarantor is an individual, the Lender may require him or her to take independent legal advice before the guarantee takes effect, and to deliver a certificate from the adviser that the advice was given on the effect of the guarantee and the risks of giving it. The guarantee does not take effect until the Lender has the certificate.</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authorise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authorise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authorisation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confirms that it is a body corporate (including a limited liability partnership) and that it enters into this agreement for the purposes of its business. The parties intend that this agreement is not a regulated credit agreement for the purposes of the Financial Services and Markets Act 2000 or the Consumer Credit Act 1974.</w:t>
      </w:r>
    </w:p>
    <w:p>
      <w:pPr>
        <w:spacing w:after="120"/>
      </w:pPr>
      <w:r>
        <w:t xml:space="preserve">The parties intend this agreement to be an exempt agreement under article 60C of the Financial Services and Markets Act 2000 (Regulated Activities) Order 2001, and not a regulated credit agreement, on the basis that the Lender provides the Borrower with credit exceeding £25,000 and the Borrower enters into this agreement wholly or predominantly for the purposes of a business carried on, or intended to be carried on, by it. The Borrower makes the following declaration, which forms part of this agreement: "Declaration for exemption relating to businesses (articles 60C and 60O of the Financial Services and Markets Act 2000 (Regulated Activities) Order 2001). I am entering this agreement wholly or predominantly for the purposes of a business carried on by me or intended to be carried on by me. I understand that I will not have the benefit of the protection and remedies that would be available to me under the Financial Services and Markets Act 2000 or under the Consumer Credit Act 1974 if this agreement were a regulated agreement under those Acts. I understand that this declaration does not affect the powers of the court to make an order under section 140B of the Consumer Credit Act 1974 in relation to a credit agreement where it determines that the relationship between the lender and the borrower is unfair to the borrower. I am aware that, if I am in any doubts as to the consequences of the agreement not being regulated by the Financial Services and Markets Act 2000 or the Consumer Credit Act 1974, then I should seek independent legal advice."</w:t>
      </w:r>
    </w:p>
    <w:p>
      <w:pPr>
        <w:spacing w:after="120"/>
      </w:pPr>
      <w:r>
        <w:t xml:space="preserve">The Lender confirms that it holds every licence, authorisation or registration that applicable law requires for it to make the Loan (including any authorisation by the Financial Conduct Authority), or that none is required because it does not carry on the business of lending or because an exemption applies.</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unable, or admits inability, to pay its debts as they fall due, is deemed to be or is declared unable to pay its debts under applicable law, suspends making payments on any of its debts, or, because of actual or anticipated financial difficulties, begins negotiations with one or more of its creditors (other than the Lender) with a view to rescheduling any of its indebtedness.</w:t>
      </w:r>
    </w:p>
    <w:p>
      <w:pPr>
        <w:spacing w:after="120"/>
      </w:pPr>
      <w:r>
        <w:t xml:space="preserve">Any corporate action, legal proceeding or other procedure or step is taken in relation to: a moratorium, winding-up, dissolution, administration, bankruptcy or reorganisation (by way of voluntary arrangement, scheme of arrangement, restructuring plan or otherwise) of the Borrower; a composition or arrangement with any creditor of the Borrower; or the appointment of a liquidator, provisional liquidator, administrator, administrative receiver, receiver, trustee in bankruptcy or similar officer in respect of the Borrower or any of its assets. This does not apply to a winding-up or bankruptcy petition that is frivolous or vexatious and is discharged, stayed or dismissed within 21 days of being presented.</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 or the Borrower proposes or enters into an individual voluntary arrangement, applies for or becomes subject to a debt relief order, or becomes subject to any equivalent procedure in any jurisdiction.</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assign or transfer any of its rights and obligations under this agreement with the Borrower's prior written consent, which may not be unreasonably withheld or delayed. No consent is needed for an assignment or transfer to an affiliate of the Lender or at any time while an Event of Default is continuing. The Lender must notify the Borrower of any assignment or transfer.</w:t>
      </w:r>
    </w:p>
    <w:p>
      <w:pPr>
        <w:pStyle w:val="Heading2"/>
      </w:pPr>
      <w:r>
        <w:t xml:space="preserve">Notices</w:t>
      </w:r>
    </w:p>
    <w:p>
      <w:pPr>
        <w:spacing w:after="120"/>
      </w:pPr>
      <w:r>
        <w:t xml:space="preserve">Any notice or other communication under this agreement must be in writing and delivered by hand, sent by pre-paid first-class post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treated as received: if delivered by hand, when it is left at the relevant address; if sent by pre-paid first-class post or courier, on the second Business Day after posting or dispatch (or the fifth Business Day if sent to another country); and if sent by email, when sent, unless the sender receives a message that it was not delivered. A notice received after 5.00 pm, or on a day that is not a Business Day, in the place of receipt is treated as received at 9.00 am on the next Business Day there. This clause does not apply to the service of any proceedings or other documents in legal action.</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Only a party to this agreement (or its successors and permitted assigns) may enforce its terms, and no other person has any right to do so under the Contracts (Rights of Third Parties) Act 1999.</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Governing Law and Jurisdiction</w:t>
      </w:r>
    </w:p>
    <w:p>
      <w:pPr>
        <w:spacing w:after="120"/>
      </w:pPr>
      <w:r>
        <w:t xml:space="preserve">The law of England and Wales governs this agreement and any non-contractual obligation arising out of or in connection with it.</w:t>
      </w:r>
    </w:p>
    <w:p>
      <w:pPr>
        <w:spacing w:after="120"/>
      </w:pPr>
      <w:r>
        <w:t xml:space="preserve">The courts of England and Wales have exclusive jurisdiction over any dispute arising out of or in connection with this agreement, including a dispute about its existence, validity or termination or about any non-contractual obligation arising out of or in connection with it.</w:t>
      </w:r>
    </w:p>
    <w:p>
      <w:pPr>
        <w:spacing w:after="120"/>
      </w:pPr>
      <w:r>
        <w:t xml:space="preserve">The parties do not shorten any limitation period by this agreement. The Lender's claim for the Loan and interest as a simple contract debt is subject to the limitation period in the Limitation Act 1980 (six years from the date the cause of action accrues), and a payment of interest or principal made by the Borrower is a payment on account and does not waive the Lender's right to the rest.</w:t>
      </w:r>
    </w:p>
    <w:p>
      <w:pPr>
        <w:spacing w:after="120"/>
      </w:pPr>
      <w:r>
        <w:t xml:space="preserve">Without affecting any other method of service allowed by law, the Borrower irrevocably appoints the Process Agent as its agent to receive on its behalf service of process in any proceedings in England and Wales. If the Process Agent ceases to be able to act, the Borrower must promptly appoint another agent in England and Wales on the same terms and notify the Lender.</w:t>
      </w:r>
    </w:p>
    <w:p>
      <w:pPr>
        <w:pStyle w:val="Heading2"/>
      </w:pPr>
      <w:r>
        <w:t xml:space="preserve">Repayment Schedule</w:t>
      </w:r>
    </w:p>
    <w:p>
      <w:pPr>
        <w:spacing w:after="120"/>
      </w:pPr>
      <w:r>
        <w:t xml:space="preserve">The Borrower must repay the Loan in the following instalments, each on the date shown: [Repayment instalments (amount and due date of each)]. If less than the full amount of the Loan is advanced, each instalment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(England &amp; Wales)</dc:title>
  <dc:creator>Mike's Templates</dc:creator>
  <cp:lastModifiedBy>Un-named</cp:lastModifiedBy>
  <cp:revision>1</cp:revision>
  <dcterms:created xsi:type="dcterms:W3CDTF">2026-11-03T03:24:07.428Z</dcterms:created>
  <dcterms:modified xsi:type="dcterms:W3CDTF">2026-11-03T03:24:07.428Z</dcterms:modified>
</cp:coreProperties>
</file>

<file path=docProps/custom.xml><?xml version="1.0" encoding="utf-8"?>
<Properties xmlns="http://schemas.openxmlformats.org/officeDocument/2006/custom-properties" xmlns:vt="http://schemas.openxmlformats.org/officeDocument/2006/docPropsVTypes"/>
</file>