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Referral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spacing w:after="120"/>
      </w:pPr>
      <w:r>
        <w:t xml:space="preserve">"Late Payment Rate" means 4% a year above the base rate from time to time of the central bank that issues the currency of the overdue amount.</w:t>
      </w:r>
    </w:p>
    <w:p>
      <w:pPr>
        <w:pStyle w:val="Heading2"/>
      </w:pPr>
      <w:r>
        <w:t xml:space="preserve">Definitions</w:t>
      </w:r>
    </w:p>
    <w:p>
      <w:pPr>
        <w:spacing w:after="120"/>
      </w:pPr>
      <w:r>
        <w:t xml:space="preserve">"Business Day" means a day other than a Saturday, Sunday or official public holiday in the Emirate of Abu Dhabi.</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organisation,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organised applies only to a party that is a body corporate or other entity; and a reference to a party's insolvency includes, for an individual, bankruptcy or any equivalent procedure in any jurisdiction.</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are exclusive of value added tax under Federal Decree-Law No. 8 of 2017 on Value Added Tax and any other applicable tax. The Company must pay any value added tax properly chargeable on them on receipt of a valid tax invoice from the Referrer.</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Company must pay interest on the overdue amount at the Late Payment Rate, accruing daily from the due date until the date of actual payment, whether before or after judgment.</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laws on marketing, unsolicited communications and the licensing of introducers.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spacing w:after="120"/>
      </w:pPr>
      <w:r>
        <w:t xml:space="preserve">The Company grants the Referrer a non-exclusive, non-transferable, revocable licence during this agreement to use the Company's name, trade 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the bribery provisions of UAE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its activities under this agreement do not require any licence, authorisation or registration that it does not hold, including a financial services permission from the ADGM Financial Services Regulatory Authority or any other regulator,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immediately by written notice,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the ADGM Data Protection Regulations 2021 and any other applicable data protection law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Indemnification</w:t>
      </w:r>
    </w:p>
    <w:p>
      <w:pPr>
        <w:spacing w:after="120"/>
      </w:pPr>
      <w:r>
        <w:t xml:space="preserve">Each party must indemnify, defend and hold harmless the other party and its affiliates from and against any claim it covers under this clause (for the Company, a third-party claim that the Company's name, trade marks or approved marketing materials, used as this agreement permits, infringe that third party's rights; for the Referrer, a third-party claim arising from the Referrer's breach of the Compliance or Data Protection clauses, or from a statement about the Company or the Offering that the Company has not approved), and all out-of-pocket damages, awards, settlements, costs and expenses, including reasonable legal fees and other legal expenses, arising from that claim. The indemnifying party's obligations are conditional on the protected party promptly notifying it of the claim, giving reasonable assistance at the indemnifying party's expense, and giving it sole control of the defence and settlement. The protected party may participate using its own lawyers at its own expense. The indemnifying party must not settle a claim in a way that admits fault or otherwise materially and adversely affects the protected party without the protected party's prior written consent. This clause is the protected party's exclusive remedy and the indemnifying party's entire liability for that claim.</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or, if the other party is an individual, is declared bankrupt or becomes subject to any insolvency or debt-settlement procedure for individuals in any jurisdiction, dies or becomes incapable of managing his or her affairs, to the extent the law allows termination on that ground.</w:t>
      </w:r>
    </w:p>
    <w:p>
      <w:pPr>
        <w:pStyle w:val="Heading2"/>
      </w:pPr>
      <w:r>
        <w:t xml:space="preserve">Force Majeure</w:t>
      </w:r>
    </w:p>
    <w:p>
      <w:pPr>
        <w:spacing w:after="120"/>
      </w:pPr>
      <w:r>
        <w:t xml:space="preserve">Neither party is liable for a delay or failure to perform its obligations under this agreement if caused by a Force Majeure Event. A Force Majeure Event is an unforeseen event outside a party's reasonable control where the affected party took reasonable measures to avoid or mitigate its impacts, including a major natural disaster, pandemic, war, riot, act of terrorism, or public utility or internet failure. This clause does not excuse a party's obligation to pay Referral Fees. Either party may terminate this agreement immediately by written notice if a Force Majeure Event prevents either party from performing its obligations for 30 or more consecutive days.</w:t>
      </w:r>
    </w:p>
    <w:p>
      <w:pPr>
        <w:pStyle w:val="Heading2"/>
      </w:pPr>
      <w:r>
        <w:t xml:space="preserve">Term and Termination</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 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pStyle w:val="Heading2"/>
      </w:pPr>
      <w:r>
        <w:t xml:space="preserve">Assignment</w:t>
      </w:r>
    </w:p>
    <w:p>
      <w:pPr>
        <w:spacing w:after="120"/>
      </w:pPr>
      <w:r>
        <w:t xml:space="preserve">Any attempted assignment, transfer or other dealing not permitted by the Assignment clause is void. This agreement binds and benefits the parties and their permitted successors and assigns.</w:t>
      </w:r>
    </w:p>
    <w:p>
      <w:pPr>
        <w:pStyle w:val="Heading2"/>
      </w:pPr>
      <w:r>
        <w:t xml:space="preserve">General</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The laws of the Abu Dhabi Global Market govern this agreement and any non-contractual obligation arising out of or in connection with it. The courts of the Abu Dhabi Global Market have exclusive jurisdiction over any dispute arising out of or in connection with this agreement.</w:t>
      </w:r>
    </w:p>
    <w:p>
      <w:pPr>
        <w:pStyle w:val="Heading2"/>
      </w:pPr>
      <w:r>
        <w:t xml:space="preserve">Injunctive Relief</w:t>
      </w:r>
    </w:p>
    <w:p>
      <w:pPr>
        <w:spacing w:after="120"/>
      </w:pPr>
      <w:r>
        <w:t xml:space="preserve">Despite the Escalation Procedure and Governing Law and Disputes clauses, an actual or threatened breach of the Confidentiality clause or violation of a party's intellectual property rights may cause irreparable harm for which monetary damages cannot adequately compensate. The non-breaching or non-violating party may therefore seek appropriate equitable relief, including an injunction, in any court of competent jurisdiction, without limiting its other rights or remedies.</w:t>
      </w:r>
    </w:p>
    <w:p>
      <w:pPr>
        <w:pStyle w:val="Heading2"/>
      </w:pPr>
      <w:r>
        <w:t xml:space="preserve">Escalation Procedure</w:t>
      </w:r>
    </w:p>
    <w:p>
      <w:pPr>
        <w:spacing w:after="120"/>
      </w:pPr>
      <w:r>
        <w:t xml:space="preserve">Before seeking any legal relief, a party must give the other written notice of the specific issues in dispute under this agreement, including a good-faith disagreement about an amount charged on an invoice. Within 30 days after receiving that notice, at least one knowledgeable representative of each party must hold at least one meeting and attempt in good faith to resolve the dispute. The parties must keep disputes and disagreements between them, including informal negotiations, mediation and arbitration, confidential as Confidential Information, except as necessary to prepare for or conduct those procedures or as required by law or judicial decision.</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Referral Agreement</dc:title>
  <dc:creator>Mike's Templates</dc:creator>
  <cp:lastModifiedBy>Un-named</cp:lastModifiedBy>
  <cp:revision>1</cp:revision>
  <dcterms:created xsi:type="dcterms:W3CDTF">2026-11-03T03:24:07.529Z</dcterms:created>
  <dcterms:modified xsi:type="dcterms:W3CDTF">2026-11-03T03:24:07.529Z</dcterms:modified>
</cp:coreProperties>
</file>

<file path=docProps/custom.xml><?xml version="1.0" encoding="utf-8"?>
<Properties xmlns="http://schemas.openxmlformats.org/officeDocument/2006/custom-properties" xmlns:vt="http://schemas.openxmlformats.org/officeDocument/2006/docPropsVTypes"/>
</file>