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Referral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pStyle w:val="Heading2"/>
      </w:pPr>
      <w:r>
        <w:t xml:space="preserve">Definitions</w:t>
      </w:r>
    </w:p>
    <w:p>
      <w:pPr>
        <w:spacing w:after="120"/>
      </w:pPr>
      <w:r>
        <w:t xml:space="preserve">"Business Day" means a day other than a Saturday, Sunday or public holiday in England.</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organisation,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organised applies only to a party that is a body corporate or other entity; and a reference to a party's insolvency includes, for an individual, bankruptcy, an individual voluntary arrangement or any equivalent procedure in any jurisdiction.</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are exclusive of VAT. The Company must pay any VAT properly chargeable on them on receipt of a valid VAT invoice from the Referrer.</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Referrer may claim interest and fixed-sum compensation under the Late Payment of Commercial Debts (Interest) Act 1998.</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the Privacy and Electronic Communications Regulations 2003 and any rules on the promotion of regulated products.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spacing w:after="120"/>
      </w:pPr>
      <w:r>
        <w:t xml:space="preserve">The Company grants the Referrer a non-exclusive, non-transferable, revocable licence during this agreement to use the Company's name, trade 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the Bribery Act 2010 and all other anti-bribery and anti-corruption laws that apply to it in connection with this agreement, and must not offer, give, request or accept any bribe or other improper payment or advantage. The Company may require the Referrer to follow the Company's reasonable anti-bribery procedures, which form part of the Company's adequate procedures to prevent bribery by persons associated with it.</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its activities under this agreement do not require any authorisation, licence or registration that it does not hold, including authorisation under the Financial Services and Markets Act 2000 or registration as an estate agency business,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immediately by written notice,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data protection law, including the UK GDPR and the Data Protection Act 2018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Additional Mutual Warranties</w:t>
      </w:r>
    </w:p>
    <w:p>
      <w:pPr>
        <w:spacing w:after="120"/>
      </w:pPr>
      <w:r>
        <w:t xml:space="preserve">Each party warrants to the other that it is duly organised, validly existing and in good standing under the laws of its jurisdiction of origin; it will comply with all laws applicable to performing its obligations or exercising its rights under this agreement; it has all rights required by applicable law to collect and share any personal data it collects or shares under this agreement; and its name, trade marks and approved marketing materials do not and will not infringe any third party's copyright, trade mark, rights in a person's name or image or other proprietary rights.</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or, if the other party is an individual, is made bankrupt, proposes or enters into an individual voluntary arrangement, dies or becomes incapable of managing his or her affairs, to the extent the law allows termination on that ground.</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 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Force Majeure</w:t>
      </w:r>
    </w:p>
    <w:p>
      <w:pPr>
        <w:spacing w:after="120"/>
      </w:pPr>
      <w:r>
        <w:t xml:space="preserve">Neither party is liable for a delay or failure to perform its obligations under this agreement if caused by an unforeseen event outside that party's reasonable control, where the affected party took reasonable measures to avoid or mitigate the event's effects, including a natural disaster, pandemic, war, riot, terrorism, or public utility or internet failure. This clause does not excuse the Company's obligation to pay Referral Fees. Either party may terminate this agreement immediately by written notice if a force majeure event prevents either party from performing its obligations for 30 or more consecutive days.</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Only a party to this agreement (or its successors and permitted assigns) may enforce its terms, and no other person has any right to do so under the Contracts (Rights of Third Parties) Act 1999.</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dispute or claim, including a non-contractual dispute or claim, arising out of or in connection with it or its subject matter are governed by the law of England and Wales. The courts of England and Wales have exclusive jurisdiction to settle any such dispute or claim.</w:t>
      </w:r>
    </w:p>
    <w:p>
      <w:pPr>
        <w:pStyle w:val="Heading2"/>
      </w:pPr>
      <w:r>
        <w:t xml:space="preserve">Injunctive Relief</w:t>
      </w:r>
    </w:p>
    <w:p>
      <w:pPr>
        <w:spacing w:after="120"/>
      </w:pPr>
      <w:r>
        <w:t xml:space="preserve">Despite the Escalation Procedure and Governing Law and Disputes clauses, an actual or threatened breach of the Confidentiality clause or violation of a party's intellectual property rights may cause irreparable harm for which damages are not an adequate remedy. The non-breaching or non-violating party may seek appropriate equitable relief, including an injunction, in any court of competent jurisdiction, without limiting its other rights or remedies.</w:t>
      </w:r>
    </w:p>
    <w:p>
      <w:pPr>
        <w:pStyle w:val="Heading2"/>
      </w:pPr>
      <w:r>
        <w:t xml:space="preserve">Escalation Procedure</w:t>
      </w:r>
    </w:p>
    <w:p>
      <w:pPr>
        <w:spacing w:after="120"/>
      </w:pPr>
      <w:r>
        <w:t xml:space="preserve">Before seeking legal relief, a party must give the other written notice of the specific issues in dispute under this agreement, including a good-faith disagreement about an amount charged in an invoice. Within 30 days after receiving that notice, at least one knowledgeable representative of each party must hold at least one meeting to attempt in good faith to resolve the dispute. The parties must keep disputes and disagreements, including informal negotiations, mediation or arbitration, confidential as Confidential Information, except where necessary to prepare for or conduct those procedures or required by law or a court decision.</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Agreement (England &amp; Wales)</dc:title>
  <dc:creator>Mike's Templates</dc:creator>
  <cp:lastModifiedBy>Un-named</cp:lastModifiedBy>
  <cp:revision>1</cp:revision>
  <dcterms:created xsi:type="dcterms:W3CDTF">2026-11-03T03:24:07.552Z</dcterms:created>
  <dcterms:modified xsi:type="dcterms:W3CDTF">2026-11-03T03:24:07.552Z</dcterms:modified>
</cp:coreProperties>
</file>

<file path=docProps/custom.xml><?xml version="1.0" encoding="utf-8"?>
<Properties xmlns="http://schemas.openxmlformats.org/officeDocument/2006/custom-properties" xmlns:vt="http://schemas.openxmlformats.org/officeDocument/2006/docPropsVTypes"/>
</file>