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Shareholders'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(1) [Shareholder 1: legal name and details (the founder or majority-side holder)] ("Shareholder 1"); (2) [Shareholder 2: legal name and details (the investor or minority-side holder)] ("Shareholder 2"); (3) the other shareholders of the Company listed in [Other shareholders who sign now] and any person who signs a deed of adherence (together with Shareholder 1 and Shareholder 2, the "Shareholders"); and (4) [Company: legal name and registration details], a private company limited by shares registered in England and Wales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in the capital of the Company of every class; "Shareholder" means each holder of Shares that is a party to this agreement; "Articles" means the articles of association of the Company as amended; "Board" means the board of directors of the Company; "Director" means a director of the Company;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London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each Shareholder confirms is correct for its own holding. Each Shareholder shall hold its Shares free of any pledge, charge or other security except as this agreement permits, and the Company shall keep its register of members in line with this agreement and shall not record a transfer or issue that is in breach of it.</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Duties of appointed Directors</w:t>
      </w:r>
    </w:p>
    <w:p>
      <w:pPr>
        <w:spacing w:after="120"/>
      </w:pPr>
      <w:r>
        <w:t xml:space="preserve">A Director appointed by a Shareholder must act in the way he or she considers, in good faith, would be most likely to promote the success of the Company for the benefit of its members as a whole, whoever appointed him or her, and the appointing Shareholder shall not direct or ask the Director to act otherwise. A Director may report to the appointing Shareholder only to the extent the Information rights clause permits and subject to his or her duties of confidentiality and to the management of conflicts of interest under the Articles and the law.</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Removal and vacancy</w:t>
      </w:r>
    </w:p>
    <w:p>
      <w:pPr>
        <w:spacing w:after="120"/>
      </w:pPr>
      <w:r>
        <w:t xml:space="preserve">A Shareholder that has the right to appoint a Director may remove that Director and appoint a replacement by notice to the Company, and the other Shareholders shall vote their Shares to give effect to it. Unless the Board composition clause gives a Shareholder a Director in all cases, a Director's seat reserved for a Shareholder ends when that Shareholder stops holding a Qualifying Holding, and the Director shall resign on request. A vacancy shall be filled only by the Shareholder with the right to appoint to that seat.</w:t>
      </w:r>
    </w:p>
    <w:p>
      <w:pPr>
        <w:pStyle w:val="Heading2"/>
      </w:pPr>
      <w:r>
        <w:t xml:space="preserve">Director insurance and indemnity</w:t>
      </w:r>
    </w:p>
    <w:p>
      <w:pPr>
        <w:spacing w:after="120"/>
      </w:pPr>
      <w:r>
        <w:t xml:space="preserve">The Company shall maintain directors' and officers' liability insurance for the Directors with limits the Board approves, and shall indemnify each Director against costs and liabilities incurred in that capacity to the fullest extent the law allows, except for liabilities arising from the Director's fraud, wilful default or breach of this agreement.</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Acting without consent</w:t>
      </w:r>
    </w:p>
    <w:p>
      <w:pPr>
        <w:spacing w:after="120"/>
      </w:pPr>
      <w:r>
        <w:t xml:space="preserve">The Shareholders shall exercise their votes and powers so that no Reserved Matter is done without the required consent. A transaction done in breach is a breach of this agreement by the Shareholders who voted for or allowed it, and each Shareholder may seek an injunction or an order to reverse the act, as the law permits, in addition to damages. This clause does not make the Company's dealings with third parties acting in good faith ineffective.</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Entrenchment in the Articles</w:t>
      </w:r>
    </w:p>
    <w:p>
      <w:pPr>
        <w:spacing w:after="120"/>
      </w:pPr>
      <w:r>
        <w:t xml:space="preserve">The Shareholders shall ensure that the provisions of the Articles that give effect to the Reserved Matters, the rights to appoint Directors and the transfer provisions are entrenched, so that they may be amended or repealed only if Shareholder 2 consents in writing, for as long as it holds a Qualifying Holding. Because entrenchment can be added to the Articles after incorporation only by an amendment that all members agree to, each Shareholder consents to it and shall sign any resolution needed to adopt it.</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Voting commitment</w:t>
      </w:r>
    </w:p>
    <w:p>
      <w:pPr>
        <w:spacing w:after="120"/>
      </w:pPr>
      <w:r>
        <w:t xml:space="preserve">Each Shareholder shall exercise its votes, including by written resolution, so that this agreement is carried out, including by voting to appoint and remove Directors as the Board composition and removal clauses provide, to amend the Articles to match this agreement, and to approve an Exit that complies with the Drag-along clause. The Company cannot restrict by contract the powers the law gives it, so any obligation placed on the Company in this agreement that would do so takes effect as an undertaking by each Shareholder to procure the result so far as it lawfully can.</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Statutory pre-emption and authority to allot</w:t>
      </w:r>
    </w:p>
    <w:p>
      <w:pPr>
        <w:spacing w:after="120"/>
      </w:pPr>
      <w:r>
        <w:t xml:space="preserve">The Company shall not allot Shares or grant any right to subscribe for Shares unless the directors have the authority the Articles or a resolution of the Company require. The offer procedure in the Pre-emption on new shares clause is in addition to, and not instead of, any statutory right of pre-emption on a cash allotment, and the Shareholders shall pass the resolutions needed to disapply the statutory right for an allotment made in compliance with this agreement, or the Articles shall provide for the process in this agreement in place of the statutory one.</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any Share or any interest in a Share except as this agreement permits. A transferee that is not already a party shall, as a condition of the transfer, sign a deed of adherence to this agreement, and the Company shall not register a transfer that does not follow this agreement. A Shareholder shall not grant an option over, or enter into a voting or other arrangement about, its Shares that conflicts with this agreement.</w:t>
      </w:r>
    </w:p>
    <w:p>
      <w:pPr>
        <w:pStyle w:val="Heading2"/>
      </w:pPr>
      <w:r>
        <w:t xml:space="preserve">Registration of transfers</w:t>
      </w:r>
    </w:p>
    <w:p>
      <w:pPr>
        <w:spacing w:after="120"/>
      </w:pPr>
      <w:r>
        <w:t xml:space="preserve">The Board shall register a transfer of Shares that complies with this agreement and the Articles, and shall refuse a transfer that does not. If the Board refuses, it shall tell the transferee as soon as practicable and in any event within two months of the transfer being lodged, and shall give reasons. The Board may register a transfer only when it holds the information needed for the register of members and the transferee has signed a deed of adherence.</w:t>
      </w:r>
    </w:p>
    <w:p>
      <w:pPr>
        <w:pStyle w:val="Heading2"/>
      </w:pPr>
      <w:r>
        <w:t xml:space="preserve">Stamp duty on transfers</w:t>
      </w:r>
    </w:p>
    <w:p>
      <w:pPr>
        <w:spacing w:after="120"/>
      </w:pPr>
      <w:r>
        <w:t xml:space="preserve">A transfer of Shares may attract stamp duty, which the buyer pays unless the parties agree otherwise. Where duty is payable or a certificate is needed, the transfer instrument shall be submitted to HM Revenue &amp; Customs and stamped before it is lodged with the Company, and the Board shall not register an unstamped transfer. A seller shall give the buyer the information it needs to complete the stamp duty return and shall have no liability for duty that is due on the buyer's side.</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Statutory buy-out of minority holders</w:t>
      </w:r>
    </w:p>
    <w:p>
      <w:pPr>
        <w:spacing w:after="120"/>
      </w:pPr>
      <w:r>
        <w:t xml:space="preserve">This agreement does not limit the right that an offeror may have by law to buy out the remaining holders after a takeover offer has been accepted by holders of at least 90 per cent in value of the shares to which the offer relates. The Drag-along clause provides a contractual route to a sale at a lower threshold, and a Shareholder that is dragged is not dragged into a price less favourable than the price offered to any other Shareholder of the same class.</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that Shareholder irrevocably appoints each Director who is not a seller, and the Company's company secretary, severally as its attorney to sign those documents and to give the Shareholder's instructions on the sale in its name, by way of security for its obligations under this clause, and the Company may register the transfer.</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Leaver call option</w:t>
      </w:r>
    </w:p>
    <w:p>
      <w:pPr>
        <w:spacing w:after="120"/>
      </w:pPr>
      <w:r>
        <w:t xml:space="preserve">On a Working Shareholder ceasing to be engaged in the Business (the "Leaving Date"), the Company, the other Shareholders in proportion, or a person they nominate, may within 60 days by notice require the Working Shareholder to sell all or part of its Unvested Shares and, if it is a Bad Leaver, all its Shares. The Company may buy Shares only in the way and to the extent the law on a company buying its own shares allows, including as to distributable profits, approval and payment, and otherwise the other Shareholders or their nominee may buy them. The Shareholders shall ensure that the Articles contain a compulsory transfer provision that matches this clause.</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Leaver call option completes within 30 days of the price being agreed or determined. The leaver shall sign the transfer and deliver its certificates. If it does not, the leaver irrevocably appoints each Director who is not the leaver, severally, as its attorney by way of security to sign the transfer in its name, and the Company may register the transfer and hold the price on trust for the leaver until the share certificate or an indemnity for its loss is delivered.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Minority protections and unfair prejudice</w:t>
      </w:r>
    </w:p>
    <w:p>
      <w:pPr>
        <w:spacing w:after="120"/>
      </w:pPr>
      <w:r>
        <w:t xml:space="preserve">Nothing in this agreement removes a Shareholder's right to apply to the court for relief on the ground of unfair prejudice. The Shareholders agree that conduct that follows this agreement, and the use of the Deadlock, leaver and drag-along clauses in the way they provide, is conduct the Shareholders have contemplated and agreed to, and a Shareholder shall first use the Deadlock resolution clause before it starts such an application, except for urgent relief.</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at nominal price,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Listing cooperation</w:t>
      </w:r>
    </w:p>
    <w:p>
      <w:pPr>
        <w:spacing w:after="120"/>
      </w:pPr>
      <w:r>
        <w:t xml:space="preserve">If the Board and the holders of the Drag Threshold decide to seek a Listing, each Shareholder shall cooperate, including by agreeing to a lock-up of up to 180 days if the sponsor or underwriters ask, voting for the re-registration of the Company as a public company and the changes to the Articles and share capital that the market needs, and giving the customary confirmations, as long as every Shareholder is treated alike.</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and is separate from each of the other restrictions in this clause.</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Reasonableness and restraint of trade</w:t>
      </w:r>
    </w:p>
    <w:p>
      <w:pPr>
        <w:spacing w:after="120"/>
      </w:pPr>
      <w:r>
        <w:t xml:space="preserve">Each Shareholder agrees that the restrictions in the covenant clauses are no wider than is reasonably needed to protect the Company's confidential information, goodwill and workforce stability. The parties accept that an English court will not enforce a restraint of trade that goes beyond what is reasonable, and that a covenant given as a shareholder is tested more leniently than a pure employment covenant but still must be justified. Each restriction is separate and, if any is unenforceable as drafted, the others remain.</w:t>
      </w:r>
    </w:p>
    <w:p>
      <w:pPr>
        <w:pStyle w:val="Heading2"/>
      </w:pPr>
      <w:r>
        <w:t xml:space="preserve">Confidentiality</w:t>
      </w:r>
    </w:p>
    <w:p>
      <w:pPr>
        <w:spacing w:after="120"/>
      </w:pPr>
      <w:r>
        <w:t xml:space="preserve">Each Shareholder shall keep confidential, and use only to manage its investment in the Company, all information it receives about the Company, the other Shareholders and this agreement. This does not apply to information that is public other than through a breach of this clause or that the Shareholder holds independently.</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has power to sign and perform this agreement and has issued the Shares in the Cap Table in accordance with its constitution and the law, and that the Cap Table is accurate on the date of this agreement. The Company is not liable under this clause for anything in the Cap Table that a Shareholder has itself provided.</w:t>
      </w:r>
    </w:p>
    <w:p>
      <w:pPr>
        <w:pStyle w:val="Heading2"/>
      </w:pPr>
      <w:r>
        <w:t xml:space="preserve">Tax relief scheme cooperation</w:t>
      </w:r>
    </w:p>
    <w:p>
      <w:pPr>
        <w:spacing w:after="120"/>
      </w:pPr>
      <w:r>
        <w:t xml:space="preserve">If a Shareholder has told the Company in writing before it subscribes that it intends to claim a tax relief for its investment, such as relief under the enterprise investment scheme or the seed enterprise investment scheme, the Company shall use reasonable endeavours to keep the conditions for the relief met and shall provide the compliance statements the Shareholder reasonably needs. The Company gives no promise that the relief will be available, and each Shareholder takes its own tax advice.</w:t>
      </w:r>
    </w:p>
    <w:p>
      <w:pPr>
        <w:pStyle w:val="Heading2"/>
      </w:pPr>
      <w:r>
        <w:t xml:space="preserve">Consistency with the constitution</w:t>
      </w:r>
    </w:p>
    <w:p>
      <w:pPr>
        <w:spacing w:after="120"/>
      </w:pPr>
      <w:r>
        <w:t xml:space="preserve">The Articles bind the Company and its members as its constitution, whereas this agreement binds only its parties, so the Shareholders shall ensure that the Articles contain the provisions of this agreement that need to bind the Company and future members, including pre-emption, transfer restrictions, tag-along, drag-along, the leaver provisions, rights to appoint and remove Directors and the rights attached to each class of Share. If the Articles and this agreement conflict, then as among the Shareholders this agreement prevails, and each Shareholder shall vote to amend the Articles so they match, by special resolution where one is needed.</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Duration</w:t>
      </w:r>
    </w:p>
    <w:p>
      <w:pPr>
        <w:spacing w:after="120"/>
      </w:pPr>
      <w:r>
        <w:t xml:space="preserve">This agreement starts on the date of this agreement and continues until the earliest of: an Exit completes; the Shareholders agree in writing to end it; only one person holds all the Shares; or the Company is wound up and removed from the register. A Shareholder that ceases to hold any Shares stops being bound by this agreement, except for the clauses that survive.</w:t>
      </w:r>
    </w:p>
    <w:p>
      <w:pPr>
        <w:pStyle w:val="Heading2"/>
      </w:pPr>
      <w:r>
        <w:t xml:space="preserve">Survival</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any right that has already arisen, and any liability for an earlier breach survive the end of this agreement or a Shareholder's ceasing to be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with the constitution of the Company and any deed of adherence, is the entire agreement among the parties about its subject matter, and replaces earlier discussions and drafts. A party has no claim for a statement that this agreement does not contain, except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Waiver</w:t>
      </w:r>
    </w:p>
    <w:p>
      <w:pPr>
        <w:spacing w:after="120"/>
      </w:pPr>
      <w:r>
        <w:t xml:space="preserve">A delay or a failure to exercise a right is not a waiver of it, and a waiver is effective only if it is given in writing and signed by the party giving it.</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Filings with the Registrar</w:t>
      </w:r>
    </w:p>
    <w:p>
      <w:pPr>
        <w:spacing w:after="120"/>
      </w:pPr>
      <w:r>
        <w:t xml:space="preserve">The Company shall make on time every filing with the Registrar of Companies that this agreement and the law require, including returns of allotment with the statement of capital, appointments and removals of Directors, amendments to the Articles with the resolutions that adopt them, the register of people with significant control and the annual confirmation statement, and shall send each Shareholder a copy of anything lodged that affects its rights.</w:t>
      </w:r>
    </w:p>
    <w:p>
      <w:pPr>
        <w:pStyle w:val="Heading2"/>
      </w:pPr>
      <w:r>
        <w:t xml:space="preserve">Costs</w:t>
      </w:r>
    </w:p>
    <w:p>
      <w:pPr>
        <w:spacing w:after="120"/>
      </w:pPr>
      <w:r>
        <w:t xml:space="preserve">Each party bears its own costs of negotiating and signing this agreement. The Company bears the costs of any amendment to its constitution and of any share issue needed to implement this agreement.</w:t>
      </w:r>
    </w:p>
    <w:p>
      <w:pPr>
        <w:pStyle w:val="Heading2"/>
      </w:pPr>
      <w:r>
        <w:t xml:space="preserve">Third-party rights</w:t>
      </w:r>
    </w:p>
    <w:p>
      <w:pPr>
        <w:spacing w:after="120"/>
      </w:pPr>
      <w:r>
        <w:t xml:space="preserve">The Company, and any Permitted Transferee that has signed a deed of adherence, may enforce the terms of this agreement that are expressed to benefit it. Nobody else who is not a party has any right under the Contracts (Rights of Third Parties) Act 1999 to enforce a term of this agreement, and the parties may change or end this agreement without the consent of anyone who is not a party.</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This agreement is intended to be executed as a deed by each party, in the way the law requires for an individual or for a company, because the powers of attorney in it are meant to be irrevocable.</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and any dispute or claim arising out of or in connection with it, including a non-contractual claim, are governed by the law of England and Wales.</w:t>
      </w:r>
    </w:p>
    <w:p>
      <w:pPr>
        <w:pStyle w:val="Heading2"/>
      </w:pPr>
      <w:r>
        <w:t xml:space="preserve">Courts or arbitration</w:t>
      </w:r>
    </w:p>
    <w:p>
      <w:pPr>
        <w:spacing w:after="120"/>
      </w:pPr>
      <w:r>
        <w:t xml:space="preserve">The courts of England and Wales have exclusive jurisdiction to settle any dispute arising out of or in connection with this agreement, including a non-contractual claim. A Shareholder that is not resident in England and Wales shall appoint an agent in England to accept service of proceedings.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(England &amp; Wales)</dc:title>
  <dc:creator>Mike's Templates</dc:creator>
  <cp:lastModifiedBy>Un-named</cp:lastModifiedBy>
  <cp:revision>1</cp:revision>
  <dcterms:created xsi:type="dcterms:W3CDTF">2026-11-03T03:24:07.761Z</dcterms:created>
  <dcterms:modified xsi:type="dcterms:W3CDTF">2026-11-03T03:24:07.761Z</dcterms:modified>
</cp:coreProperties>
</file>

<file path=docProps/custom.xml><?xml version="1.0" encoding="utf-8"?>
<Properties xmlns="http://schemas.openxmlformats.org/officeDocument/2006/custom-properties" xmlns:vt="http://schemas.openxmlformats.org/officeDocument/2006/docPropsVTypes"/>
</file>