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Supply Agreement (UAE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Term" means [Delivery rule (Incoterms® 2020)] under Incoterms® 2020, named place: the Delivery Point.</w:t>
      </w:r>
    </w:p>
    <w:p>
      <w:pPr>
        <w:spacing w:after="120"/>
      </w:pPr>
      <w:r>
        <w:t xml:space="preserve">"Delivery Point" means [Named place or port of delivery].</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"Late Payment Rate" means [Late payment interest rate].</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spacing w:after="120"/>
      </w:pPr>
      <w:r>
        <w:t xml:space="preserve">"Emirate" means the Emirate of [Emirate whose courts have jurisdiction].</w:t>
      </w:r>
    </w:p>
    <w:p>
      <w:pPr>
        <w:spacing w:after="120"/>
      </w:pPr>
      <w:r>
        <w:t xml:space="preserve">"Arbitration Rules" means [Arbitration rules and administering centre].</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official public holiday in the United Arab Emirates.</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labour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in accordance with the Delivery Term on the delivery date stated in the Accepted Order, together with the commercial, transport and other documents that the Delivery Term requires of the Supplier and a packing list stating the Order reference, the Products and quantities delivered and any batch or lot numbers.</w:t>
      </w:r>
    </w:p>
    <w:p>
      <w:pPr>
        <w:spacing w:after="120"/>
      </w:pPr>
      <w:r>
        <w:t xml:space="preserve">The Delivery Term determines when delivery takes place, which party arranges and pays for carriage and insurance, and which party is responsible for export and import clearance, duties and taxes. On any other matter, this agreement prevails over the Delivery Term.</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by instalments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spacing w:after="120"/>
      </w:pPr>
      <w:r>
        <w:t xml:space="preserve">Where the Delivery Term requires the Products to be cleared for import into the United Arab Emirates, the party responsible for clearance must file the customs declaration with the Customs authority of the Emirate of [Emirate whose courts have jurisdiction], pay the customs duty and any fees that apply, and give the other party a copy of the customs entry. The Supplier must give the Buyer the commercial invoice, packing list and certificate of origin in time for clearance, with an Arabic translation if the authority requires one.</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these payments are a genuine pre-estimate of the loss the Buyer is likely to suffer from late delivery.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delivery in accordance with the Delivery Term.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spacing w:after="120"/>
      </w:pPr>
      <w:r>
        <w:t xml:space="preserve">If the Supplier keeps title or takes security over the Products until payment, it may register the security under Federal Law No. 4 of 2020 on Securing the Rights in Movables, and the Buyer must sign any document and give any consent needed for registration within five Business Days after the Supplier asks. A retention of title that is not registered may not be effective against the Buyer's creditors or a purchaser from the Buyer.</w:t>
      </w:r>
    </w:p>
    <w:p>
      <w:pPr>
        <w:pStyle w:val="Heading2"/>
      </w:pPr>
      <w:r>
        <w:t xml:space="preserve">Inspection and Rejection</w:t>
      </w:r>
    </w:p>
    <w:p>
      <w:pPr>
        <w:spacing w:after="120"/>
      </w:pPr>
      <w:r>
        <w:t xml:space="preserve">The Buyer must carry out a reasonable visual inspection and quantity check of the Products within the Inspection Period after they arrive at their destination, being the place to which they are to be carried as stated in the Accepted Order or the Buyer's delivery instructions. The Inspection Period runs from that arrival even where delivery under the Delivery Term takes place earlier, such as when the Products are handed to a carrier or loaded on board a vessel at the place of shipment, and this clause does not change when delivery takes place or when risk passes under the Delivery Term. The Buyer is not required to test the Products beyond that unless the Specification requires it.</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To the extent permitted by law, the warranties in this agreement replace any guarantee against hidden defects or other warranty implied by law, but nothing in this agreement excludes or limits the Supplier's liability for a defect that it fraudulently concealed.</w:t>
      </w:r>
    </w:p>
    <w:p>
      <w:pPr>
        <w:spacing w:after="120"/>
      </w:pPr>
      <w:r>
        <w:t xml:space="preserve">The Buyer must notify the Supplier in writing of a defect that a reasonable inspection did not reveal as soon as it discovers it, describing the defect, and in any event before the end of the Warranty Period. The Supplier remains liable for a defect that it knew of and concealed even after that period, to the extent that the law imposes that liability.</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all costs that the Delivery Term allocates to the Supplier.</w:t>
      </w:r>
    </w:p>
    <w:p>
      <w:pPr>
        <w:spacing w:after="120"/>
      </w:pPr>
      <w:r>
        <w:t xml:space="preserve">The Prices do not include value added tax under Federal Decree-Law No. 8 of 2017 on Value Added Tax, which the Buyer must pay on receipt of a valid tax invoice. Where the Buyer is required by law to account for value added tax itself, for example under a reverse charge on imported Products, the Supplier will issue its invoice without tax and the Buyer will account for it. The Supplier must show its tax registration number on every invoice and keep records of each supply for the period the law requires.</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on its due date, simple interest accrues on the overdue amount at the Late Payment Rate from the due date until payment is received, calculated on the actual number of days elapsed. Interest is not added to the overdue amount to earn further interest, and the Supplier may claim it only to the extent that the Commercial Transactions Law and the Civil Transactions Law allow interest on a commercial sale debt.</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labelling, packaging and accompanying instructions comply with the product safety, chemical, labelling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enquiry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moulds,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 marks, artwork or other materials for the Products, the Buyer grants the Supplier a non-exclusive, non-transferable, royalty-free licence to use them during this agreement solely to make and supply the Products to the Buyer. The Supplier must not supply to anyone else products made using those materials or bearing the Buyer's trade 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indemnify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indemnify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defence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product liability and public liability insurance,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fraud, gross error or wilful misconduct, for death or personal injury, for harm for which liability cannot lawfully be excluded,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favourably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spacing w:after="120"/>
      </w:pPr>
      <w:r>
        <w:t xml:space="preserve">If an event that is not a Force Majeure Event makes performance exceptionally onerous for a party, although not impossible, the parties must meet within ten Business Days of a written request to discuss in good faith whether to adjust the Prices or the delivery dates. Nothing in this clause or in those discussions limits or suspends any right that the Civil Transactions Law gives a party to ask a court to adjust or rescind this agreement, which the parties cannot exclude by agreement.</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Federal Decree-Law No. 45 of 2021 on the Protection of Personal Data and any other applicable data protection law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the bribery provisions of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Each party must comply with the sanctions, export control and customs laws that apply to the supply, export, import and use of the Products. The Supplier must give the Buyer, on request, the export control classification, country of origin and customs tariff code of each Product.</w:t>
      </w:r>
    </w:p>
    <w:p>
      <w:pPr>
        <w:spacing w:after="120"/>
      </w:pPr>
      <w:r>
        <w:t xml:space="preserve">The Supplier must take reasonable steps to ensure that there is no slavery, forced or compulsory labour, child labour or human trafficking in its business or in its supply chain for the Products.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a court opens bankruptcy, preventive composition, restructuring or liquidation proceedings against the other party under the law of the United Arab Emirates or any other law, if a trustee or similar officer is appointed over the other's assets, or if the other stops paying its debts as they fall due. The right to terminate is exercised only to the extent that the bankruptcy and restructuring law applying to the other party allows a counterparty to do so.</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is governed by the federal laws of the United Arab Emirates and, to the extent applicable, the laws of the Emirate.</w:t>
      </w:r>
    </w:p>
    <w:p>
      <w:pPr>
        <w:spacing w:after="120"/>
      </w:pPr>
      <w:r>
        <w:t xml:space="preserve">The courts of the Emirate (which, for clarity, do not include the courts of the Dubai International Financial Centre or the Abu Dhabi Global Market) have exclusive jurisdiction to settle any dispute arising out of or in connection with this agreement.</w:t>
      </w:r>
    </w:p>
    <w:p>
      <w:pPr>
        <w:spacing w:after="120"/>
      </w:pPr>
      <w:r>
        <w:t xml:space="preserve">Nothing in this agreement stops either party from applying at any time to the competent court for a precautionary attachment, an urgent order or another conservatory measure to protect its rights, including over Products, money or assets of the other party, as the law of the United Arab Emirates allows.</w:t>
      </w:r>
    </w:p>
    <w:p>
      <w:pPr>
        <w:spacing w:after="120"/>
      </w:pPr>
      <w:r>
        <w:t xml:space="preserve">Nothing in this agreement shortens a period within which a claim must be brought under the law of the United Arab Emirates where that law does not allow the period to be shortened by agreement. Each party must notify the other of a claim in writing before it starts court or arbitration proceedings about it.</w:t>
      </w:r>
    </w:p>
    <w:p>
      <w:pPr>
        <w:spacing w:after="120"/>
      </w:pPr>
      <w:r>
        <w:t xml:space="preserve">Either party may require that this agreement be notarised with a notary public in the United Arab Emirates, at the cost of the party that asks, and the other party must attend or give a power of attorney for that purpose within ten Business Days after the request. A party that needs a certified Arabic translation for a court, authority or notary must obtain it at its own cost.</w:t>
      </w:r>
    </w:p>
    <w:p>
      <w:pPr>
        <w:spacing w:after="120"/>
      </w:pPr>
      <w:r>
        <w:t xml:space="preserve">This agreement is made in English. If it is translated into Arabic for use before a court or authority, the parties agree that the English text prevails between them to the extent permitted by law, and the translation is used only for the purpose for which it was made.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Agreement (UAE Mainland)</dc:title>
  <dc:creator>Mike's Templates</dc:creator>
  <cp:lastModifiedBy>Un-named</cp:lastModifiedBy>
  <cp:revision>1</cp:revision>
  <dcterms:created xsi:type="dcterms:W3CDTF">2026-11-03T03:24:07.854Z</dcterms:created>
  <dcterms:modified xsi:type="dcterms:W3CDTF">2026-11-03T03:24:07.854Z</dcterms:modified>
</cp:coreProperties>
</file>

<file path=docProps/custom.xml><?xml version="1.0" encoding="utf-8"?>
<Properties xmlns="http://schemas.openxmlformats.org/officeDocument/2006/custom-properties" xmlns:vt="http://schemas.openxmlformats.org/officeDocument/2006/docPropsVTypes"/>
</file>